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641" w:firstLine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双清区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应急管理局</w:t>
      </w:r>
      <w:bookmarkStart w:id="0" w:name="_GoBack"/>
      <w:r>
        <w:rPr>
          <w:rFonts w:ascii="Calibri" w:hAnsi="Calibri" w:eastAsia="方正小标宋_GBK" w:cs="Calibri"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年度整体支出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641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绩效评价报告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641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部门概况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部门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根据中共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邵阳市双清区委办公室邵阳市双清区</w:t>
      </w:r>
      <w:r>
        <w:rPr>
          <w:rFonts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人民政府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办公室</w:t>
      </w:r>
      <w:r>
        <w:rPr>
          <w:rFonts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关于印发《邵阳市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双清区应急管理局职能配置、内设机构和人员编制规定</w:t>
      </w:r>
      <w:r>
        <w:rPr>
          <w:rFonts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》的通知（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双</w:t>
      </w:r>
      <w:r>
        <w:rPr>
          <w:rFonts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办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字</w:t>
      </w:r>
      <w:r>
        <w:rPr>
          <w:rFonts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〔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201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号)文件精神，将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安全生产监督管理局的职责，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政府办公室的应急管理职责，市公安局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双清分局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的消防管理职责，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民政局的救灾职责，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国土资源局的地质灾害防治职责，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区农业林业水利局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的森林防火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水旱灾害防治相关职责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区经济和科技信息化局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的震灾应急救援职责，防汛抗旱、减灾、抗震救灾、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森林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防火等指挥部（委员会）的职责整合，组建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应急管理局，为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政府工作部门，对外加挂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防汛抗旱指挥部办公室牌子。不再保留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安全生产监督管理局。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双清区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应急管理局的主要职责是指导全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乡镇（街道）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各部门应对安全生产类、自然灾害类等突发事件和综合防灾减灾救灾工作。负责安全生产综合监督管理和工矿商贸行业（含煤矿）安全生产监督管理工作。局机关现有在职干部职工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人，内设办公室、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安全监管股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个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股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室，设立了全额拨款的副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科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级事业单位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双清区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安全生产执法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大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（二）部门整体支出规模、使用方向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和主要内容、涉及范围等。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我局部门整体支出使用内容及范围为人员工资、公用支出和专项支出，包括“打非治违”、“隐患排查”、“安全生产大整治大管控大排查”专项整治行动和应急救援、防汛抗旱、森林防火、民政救灾等方面的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二、部门整体支出管理及使用情况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ascii="楷体_GB2312" w:hAnsi="微软雅黑" w:eastAsia="楷体_GB2312" w:cs="楷体_GB2312"/>
          <w:b/>
          <w:bCs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（一）预算执行情况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2020年收入</w:t>
      </w:r>
      <w:r>
        <w:rPr>
          <w:rFonts w:hint="eastAsia" w:asciiTheme="minorEastAsia" w:hAnsiTheme="minorEastAsia" w:eastAsiaTheme="minorEastAsia"/>
          <w:sz w:val="32"/>
          <w:szCs w:val="32"/>
        </w:rPr>
        <w:t>527.12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万元，其中一般公共预算拨款收入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475.31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万元，其他收入</w:t>
      </w:r>
      <w:r>
        <w:rPr>
          <w:rFonts w:hint="eastAsia" w:asciiTheme="minorEastAsia" w:hAnsiTheme="minorEastAsia" w:eastAsiaTheme="minorEastAsia"/>
          <w:sz w:val="32"/>
          <w:szCs w:val="32"/>
        </w:rPr>
        <w:t>51.81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2020年经费支出</w:t>
      </w:r>
      <w:r>
        <w:rPr>
          <w:rFonts w:hint="eastAsia" w:asciiTheme="minorEastAsia" w:hAnsiTheme="minorEastAsia" w:eastAsiaTheme="minorEastAsia"/>
          <w:sz w:val="32"/>
          <w:szCs w:val="32"/>
        </w:rPr>
        <w:t>495.81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万元，其中基本支出</w:t>
      </w:r>
      <w:r>
        <w:rPr>
          <w:rFonts w:hint="eastAsia" w:asciiTheme="minorEastAsia" w:hAnsiTheme="minorEastAsia" w:eastAsiaTheme="minorEastAsia"/>
          <w:sz w:val="32"/>
          <w:szCs w:val="32"/>
        </w:rPr>
        <w:t>400.51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万元，项目支出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95.3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一般公共预算财政拨款支出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475.31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万元，主要用于以下方面：社会保障就业支出</w:t>
      </w:r>
      <w:r>
        <w:rPr>
          <w:rFonts w:hint="eastAsia" w:asciiTheme="minorEastAsia" w:hAnsiTheme="minorEastAsia" w:eastAsiaTheme="minorEastAsia"/>
          <w:sz w:val="32"/>
          <w:szCs w:val="32"/>
        </w:rPr>
        <w:t>52.23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万元，卫生健康支出</w:t>
      </w:r>
      <w:r>
        <w:rPr>
          <w:rFonts w:hint="eastAsia" w:asciiTheme="minorEastAsia" w:hAnsiTheme="minorEastAsia" w:eastAsiaTheme="minorEastAsia"/>
          <w:sz w:val="32"/>
          <w:szCs w:val="32"/>
        </w:rPr>
        <w:t>15.05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万元，住房保障支出</w:t>
      </w:r>
      <w:r>
        <w:rPr>
          <w:rFonts w:hint="eastAsia" w:asciiTheme="minorEastAsia" w:hAnsiTheme="minorEastAsia" w:eastAsiaTheme="minorEastAsia"/>
          <w:sz w:val="32"/>
          <w:szCs w:val="32"/>
        </w:rPr>
        <w:t>14.30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万元，灾害防治及应急管理支出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393.73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（二）基本支出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基本支出是为保障单位机构正常运转、完成日常工作任务而发生的各项支出，包括人员经费和日常公用经费。2020年度一般公共预算财政拨款基本支出</w:t>
      </w:r>
      <w:r>
        <w:rPr>
          <w:rFonts w:hint="eastAsia" w:asciiTheme="minorEastAsia" w:hAnsiTheme="minorEastAsia" w:eastAsiaTheme="minorEastAsia"/>
          <w:sz w:val="32"/>
          <w:szCs w:val="32"/>
        </w:rPr>
        <w:t>400.51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万元，其中：工资福利支出</w:t>
      </w:r>
      <w:r>
        <w:rPr>
          <w:rFonts w:hint="eastAsia" w:asciiTheme="minorEastAsia" w:hAnsiTheme="minorEastAsia" w:eastAsiaTheme="minorEastAsia"/>
          <w:sz w:val="32"/>
          <w:szCs w:val="32"/>
        </w:rPr>
        <w:t>275.71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万元；商品和服务支出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124.8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资金通过财政实行国库集中支付，资金的使用严格按照财务审批制度和审批程序层层把关。“三公经费”中，公务用车购置及运行维护费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万元；公务接待费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万元，出国境费为0。公务接待严格控制接待标准和陪餐人数，车辆管理均实行在公务用车平台申报制度，全局按照厉行节约的管理思路，严格控制“三公经费”的支出。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三、资产管理情况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我局的资产主要包括电脑、打印机、传真机、复印机、办公桌椅、空调、电视机等。根据《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双清区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应急管理局资产管理制度》的规定，固定资产采购必须按制度执行，由局办公室和财务统计科负责，政府集中采购目录及限额以上的采购项目严格按照采购程序报批。日常办公用品坚持按照“统一管理、按需分配、责任到人、物尽其用”的原则，由办公室统一调配，建立台帐，所有固定资产都登记入账，填制实物登记卡片，做到帐卡相符，帐物相符。建立健全财产损坏、损失赔偿制度，对因管理使用不善造成损坏、损失的，要追究管理、使用人员责任，区别情况作出处理。年底对固定资产进行一次全面清查，核准数量，及时作好固定资产价值的增减处理，对盈亏要查明原因，进行认真分析，及时向局党组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四、绩效评价工作情况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财政局关于开展2020年度部门整体支出绩效自评工作的通知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要求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，我局对本单位的预算执行、预算管理、资产管理、绩效管理、职责履行、履职效益等方面进行了自评，形成该评价结论。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五、综合评价情况及评价结论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能够按照国家的法律法规加强预算管理，不断完善内控制度，取得了较好的执行效果，认真完成了2020年度的预算和决算工作，财务管理和会计基础工作日益完善。但仍存在部门预算编制不太科学、不太精准，预算管理欠规范等问题，须在今后的工作中加以改进。2020年部门整体支出绩效评价指标评分为95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六、部门整体支出主要绩效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2020年，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应急管理局扎实开展安全风险隐患“打非治违”、“安全生产专项整治行动”和应急救援、防汛抗旱、森林防火、民政救灾等方面的工作，全面推进基层消防上台阶“三年行动”，层层压实责任，全面排查隐患，夯实基层基础，有力地促进了全市安全生产形势持续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七、存在的问题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因扶贫、美丽乡村建设等政府中心工作没有资金预算，都要用办公经费来弥补，所以存在串用指标的问题。其次是财务人员专业知识有待加强。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八、改进措施和有关建议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（一）做好2021年的预算编制，规范资金管理，完善财务制度。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（二）加强培训，提高财务人员的工作水平。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OGRiNDIyMTkyZjRjN2ExYzM0NzY2ZTUxZTQ5MjYifQ=="/>
  </w:docVars>
  <w:rsids>
    <w:rsidRoot w:val="00000000"/>
    <w:rsid w:val="36DE67B7"/>
    <w:rsid w:val="60F0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1817</Words>
  <Characters>1913</Characters>
  <Lines>0</Lines>
  <Paragraphs>0</Paragraphs>
  <TotalTime>5</TotalTime>
  <ScaleCrop>false</ScaleCrop>
  <LinksUpToDate>false</LinksUpToDate>
  <CharactersWithSpaces>1913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2022-06-28T07:10:43Z</dcterms:created>
  <dc:creator>Administrator</dc:creator>
  <cp:lastModifiedBy>Administrator</cp:lastModifiedBy>
  <dcterms:modified xsi:type="dcterms:W3CDTF">2022-06-28T07:56:20Z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734E6893D1BD45B0A61692CDA1E8F696</vt:lpwstr>
  </property>
</Properties>
</file>