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center"/>
        <w:rPr>
          <w:rFonts w:ascii="Arial" w:hAnsi="Arial" w:cs="Arial"/>
          <w:i w:val="0"/>
          <w:iCs w:val="0"/>
          <w:caps w:val="0"/>
          <w:color w:val="333333"/>
          <w:spacing w:val="0"/>
          <w:sz w:val="44"/>
          <w:szCs w:val="44"/>
        </w:rPr>
      </w:pPr>
      <w:r>
        <w:rPr>
          <w:rFonts w:hint="eastAsia" w:ascii="宋体" w:hAnsi="宋体" w:eastAsia="宋体" w:cs="宋体"/>
          <w:b/>
          <w:bCs/>
          <w:i w:val="0"/>
          <w:iCs w:val="0"/>
          <w:caps w:val="0"/>
          <w:color w:val="000000"/>
          <w:spacing w:val="0"/>
          <w:kern w:val="0"/>
          <w:sz w:val="44"/>
          <w:szCs w:val="44"/>
          <w:bdr w:val="none" w:color="auto" w:sz="0" w:space="0"/>
          <w:shd w:val="clear" w:fill="FFFFFF"/>
          <w:lang w:val="en-US" w:eastAsia="zh-CN" w:bidi="ar"/>
        </w:rPr>
        <w:t>2020年度部门整体支出绩效评价报告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根据上级文件精神，结合具体情况，双清区市场监督管理局党组对2020年度部门整体支出绩效评价进行了认真的研究和部署，以财务股牵头组织开展预算资金绩效自评工作，现将2020年度部门整体支出绩效评价情况报告如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一、基本情况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（一）部门组织机构及人员情况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00" w:lineRule="atLeast"/>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双清区市场监督管理局局机关现设有</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办公室、政策法规股、登记注册股（加挂行政审批服务股）</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等17个股室；</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4个事业单位分别是邵阳市双清区个体私营经济发展指导中心（加挂区个体劳动者私营企业协会办公室）、邵阳市双清区消费者权益保障服务中心、邵阳市双清区市场监督管理局信息中心、邵阳市双清区市场监管执法大队</w:t>
      </w: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；并下设11个市场监督管理所。全局现有</w:t>
      </w:r>
      <w:r>
        <w:rPr>
          <w:rFonts w:hint="eastAsia" w:ascii="宋体" w:hAnsi="宋体" w:eastAsia="宋体" w:cs="宋体"/>
          <w:i w:val="0"/>
          <w:iCs w:val="0"/>
          <w:caps w:val="0"/>
          <w:color w:val="333333"/>
          <w:spacing w:val="0"/>
          <w:kern w:val="0"/>
          <w:sz w:val="32"/>
          <w:szCs w:val="32"/>
          <w:bdr w:val="none" w:color="auto" w:sz="0" w:space="0"/>
          <w:shd w:val="clear" w:fill="FFFFFF"/>
          <w:lang w:val="en-US" w:eastAsia="zh-CN" w:bidi="ar"/>
        </w:rPr>
        <w:t>现实有人数241人，其中在职人员166人，退休人员75人。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（二）部门整体支出概况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2020年收入总计2279.73万元，其中财政拨款收入2262.36万元，其他收入17.37万元，上年结转386.35万元。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 全年总支出2666.09万元，其中基本支出2575.02万元；项目支出91.07万元。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财政年初预算经费2262.36万元，预算完成率为117.85%。</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收支平衡结余情况：收入2279.73万元，支出2666.09万元，上年结转386.35万元，本年结余0万元。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（三）部门整体支出绩效目标情况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1.绩效完成情况 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优化营商环境，精准服务。着力落实“一件事一次办”“证照联办”“三集中三到位”“注销便利化”改革任务，全年共办理市场主体开业登记2971户，企业、个体户变更、换照登记1437户，企业、个体户注销登记1176户；全面推进“双随机、一公开”监管工作，全年共制定了21项抽检实施方案，随机抽查检查对象629户，抽取执法检查人员362人，避免了多头执法、重复检查等现象；严格落实行政许可和行政处罚公示、经营异常名录、严重违法企业名单管理制度，全年共列入经营异常名录企业643户1730条，移出经营异常名录246户468条；列入严重违法失信企业名单210户489条，移出31户62条，确保我区市场主体守法经营。</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加强市场监管，营造安全稳定发展环境。全面落实习近平总书记提出的“四个最严”要求，切实保障人民群众“舌尖上的安全”。对粮食安全高度重视，组织全区大米生产企业与检测设备生产厂家联系，帮助企业把关“镉”检测设备添置并投入使用，有力保障了全区大米生产企业的原粮收购和出厂检验存在重金属检测能力低的问题，有力提升了企业自检能力。结合辖区实际，深化药品、医疗器械、保健食品、化妆品日常监管。先后开展零售药店执业医师“挂证”、化妆品、中药饮片、无菌和植入性医疗器械等专项整治行动。全面抓好特种设备领域执法工作，全覆盖，零容忍，严执法。通过加强宣传引导，整合各方资源，充分利用电视、政府门户网、微信公众号、门店电子显示屏等平台大力宣传安全知识，切实提高了群众的安全意识和自我保护能力。</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加强品牌建设，推进质量提升。积极做好已有市级标准化试点示范项目建设的跟进督促工作，督促该企业按照申报书的时间节点及有关要求高质量地完成本年度的标准化建设任务。推进区域公共品牌建设进程；积极指导企业和个人挖掘、申报专利。认真部署2020年质量强区工作、强化质量管理培训工作，组织举行质量大讲堂活动，积极开展申报评审工作，加快构建了双清区高质量发展的质量标准体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（4）整顿规范市场生产经营秩序，助力创建文明城市。</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采用现代化市场监管手段，深入开展交通顽瘴痼疾、禁捕退捕、假冒伪劣、禁磷、传销、价格收费、不正当竞争、虚假违法广告、假冒侵权等专项整治工作。其中在交通顽瘴痼疾整治工作中，我局对辖区内机动车、电动自行车、变型拖拉机、摩托车（含电动摩托车）等经销门店、维修店开展“地毯式”清查，铁腕整治、坚持追责到底，注重配合、有的放矢，同时加强宣传报道，做到全面深入，营造良好氛围。在禁捕退捕工作中，我局出台了专项整治工作方案，压实工作责任，形成长效工作机制，对市场实施了全面整改，有效保护了水域生态环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（5）提升消保维权能力，营造放心舒心消费环境 。高度重视消费者权益保护工作，坚持节假日和疫情期间24小时工作不放松，保证投诉热线24小时畅通，及时接收、分流并处理消费者投诉，做到消费投诉“快受理、零障碍、快处置、零延误”，树立12315快速反应新品牌。维护了疫情防控、节假日期间市场秩序和价格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2.效益情况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各项指标在区委、区政府的绩效考核全部合格。</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3.预算决算公开透明</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整体预算决算在双清区人民政府网站公开。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4.严控“三公经费”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2020年“三公经费”财政拨款支出决算为0.81万元。其中：公务用车购置及运行费支出0.71万元，公务接待费支出0.1万元。 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（四）部门整体支出或项目实施情况分析：</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2020年双清区市场监督管理局根据本局的工作特色和职能情况，分别对基层管理所和职能股室在综合管理、市场管理、依法行政、消费维权、服务发展、后勤运行、执勤执法车运行等方面进行计划落实。</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2020年，双清区市场监督管理局项目资金实际使用基本正常，共483.2万元，从大类来分：食品药品安全监管支出占12.41%，60万元；食品药品抽检经费支出占8.28%，40万元；专用设备、试剂经费支出占2.07%，约10万元；消费者权益保护经费支出占6.2%，30万元；产品质量和特种设备安全监管经费支出占12.41%，60万元；知识产权和商标战略经费支出占8.28%，40万元；商事制度改革经费支出占12.41%，60万元；非税收入支出占34.13%，164.9万元；非税收政府统筹占3.79%，18.3万元。</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2020年，双清区市场监督管理局对项目资金和其他资金的管理主要通过《财务管理办法》和《联审会签》制度在多个方面管理项目资金，使项目资金在内容上和性质上能按照部门预算的要求进行使用。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二、绩效评价工作情况</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一）绩效评价目的：通过绩效评价，了解局属各单位工作情况及取得的效果，总结管理经验，发现管理中存在的问题，为提高经费使用效益，加强财政支出的规范化管理，健全和完善支出项目和资金使用管理办法，完善预算编制、加强绩效目标管理和绩效考核工作提供重要的参考依据，以及提出相关的建议和应采取的措施等。</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（二）绩效评价工作过程：</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1、根据绩效评价工作要求，成立了自评工作小组，由主管财务的副局长任组长，财务股负责落实本单位自评工作。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为检测项目进展与实施效果，根据评价指标对项目的实施结果进行测评，并对项目经费的资金落实、支出、监督、管理的跟踪问效，了解该项目资金使用的过程、结果，判断资金使用是否科学、合理和有效。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收集资料的基础上，根据《绩效评价工作方案》，在指标设置中通过定量和定性相结合、目标与结果比较、投入与效果比较等方法设置指标体系。通过设置指标的实现值、标准值、权值和权值的记分方法的体系来评价每个指标的最终得分，以最终得分来综合评价项目的绩效，并形成绩效评价报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4、征求意见。对履行职责情况的公众满意度征求了局属各单位同志意见。</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5、评价组对各项评价指标进行分析讨论。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三、主要绩效及评价结论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 双清区市场监督管理局履行职责职能,严格按财经法规及制度使用、管理资金,成效明显,主要体现在以下几个方面：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一是资金使用效益高。表现在:1.保障了职工工资,津补贴和追加工资的及时足额发放,没有出现拖欠职工工资,离退休费用等现象；2.保障了各项工作的正常运转,资金支付正常；3.财政供养人员控制较好；4.资金使用无虚列支出及随意使用现象,无大额现金支付现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二是资金使用社会效益好。1.保障了双清区市场监督管理局各项工作的顺利进行。2.保障了“精准扶贫”及新冠疫情等突发疫情的经费开支。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四、存在问题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1、预算计划与预算执行存在一定的偏差。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2、绩效目标设立不够明确、细化和量化。</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五、有关建议</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1、进一步完善单位财务部门和业务部门共同参与、协调配合的绩效评价工作机制。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2、开展多种形式的讲座和培训，强化预算绩效管理意识，提高基层单位绩效评价工作水平。</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六、其他需要说明的问题</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1、双清区市场监督管理局2020年度的项目预算资金量比较大，内容比较多，性质比较复杂，因此自评起来，不可能面面具到。</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rPr>
          <w:rFonts w:hint="default" w:ascii="Arial" w:hAnsi="Arial" w:cs="Arial"/>
          <w:i w:val="0"/>
          <w:iCs w:val="0"/>
          <w:caps w:val="0"/>
          <w:color w:val="333333"/>
          <w:spacing w:val="0"/>
          <w:sz w:val="16"/>
          <w:szCs w:val="16"/>
        </w:rPr>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2、双清区市场监督管理局的项目资金使用，专业性较强，术语较多，因此绩效自评时，表述把握不准。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0"/>
        <w:jc w:val="left"/>
      </w:pPr>
      <w:r>
        <w:rPr>
          <w:rFonts w:hint="eastAsia" w:ascii="宋体" w:hAnsi="宋体" w:eastAsia="宋体" w:cs="宋体"/>
          <w:i w:val="0"/>
          <w:iCs w:val="0"/>
          <w:caps w:val="0"/>
          <w:color w:val="000000"/>
          <w:spacing w:val="0"/>
          <w:kern w:val="0"/>
          <w:sz w:val="32"/>
          <w:szCs w:val="32"/>
          <w:bdr w:val="none" w:color="auto" w:sz="0" w:space="0"/>
          <w:shd w:val="clear" w:fill="FFFFFF"/>
          <w:lang w:val="en-US" w:eastAsia="zh-CN" w:bidi="ar"/>
        </w:rPr>
        <w:t>3、有些项目资金使用后，它产生的绩效交叉关系，我们无法分解，只能笼统进行自评。</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F928B5"/>
    <w:rsid w:val="1DF928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Office_11.1.0.11405_F1E327BC-269C-435d-A152-05C5408002CA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2022-06-28T08:33:00Z</dcterms:created>
  <dc:creator>小杰1412386286</dc:creator>
  <cp:lastModifiedBy>小杰1412386286</cp:lastModifiedBy>
  <dcterms:modified xsi:type="dcterms:W3CDTF">2022-06-28T08:37:50Z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2052-11.1.0.11405</vt:lpwstr>
  </property>
  <property fmtid="{D5CDD505-2E9C-101B-9397-08002B2CF9AE}" pid="3" name="ICV">
    <vt:lpwstr>9080E7D4AF0F40A4AF4E1FD399DE5CFB</vt:lpwstr>
  </property>
</Properties>
</file>