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2020年度</w:t>
      </w:r>
      <w:r>
        <w:rPr>
          <w:rFonts w:hint="eastAsia" w:ascii="黑体" w:hAnsi="黑体" w:eastAsia="黑体" w:cs="黑体"/>
          <w:kern w:val="0"/>
          <w:sz w:val="32"/>
          <w:szCs w:val="32"/>
          <w:lang w:eastAsia="zh-CN"/>
        </w:rPr>
        <w:t>中共邵阳市双清区委政法委员会</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（包括部门的在职人员情况、机构设置、主要职能及重点工作计划等）。2020年度</w:t>
      </w:r>
      <w:r>
        <w:rPr>
          <w:rFonts w:hint="eastAsia" w:ascii="仿宋" w:hAnsi="仿宋" w:eastAsia="仿宋" w:cs="仿宋"/>
          <w:kern w:val="0"/>
          <w:sz w:val="32"/>
          <w:szCs w:val="32"/>
          <w:shd w:val="clear" w:color="auto" w:fill="FFFFFF"/>
          <w:lang w:eastAsia="zh-CN"/>
        </w:rPr>
        <w:t>中共邵阳市双清区委政法委员会</w:t>
      </w:r>
      <w:r>
        <w:rPr>
          <w:rFonts w:hint="eastAsia" w:ascii="仿宋" w:hAnsi="仿宋" w:eastAsia="仿宋" w:cs="仿宋"/>
          <w:kern w:val="0"/>
          <w:sz w:val="32"/>
          <w:szCs w:val="32"/>
          <w:shd w:val="clear" w:color="auto" w:fill="FFFFFF"/>
          <w:lang w:val="en-US" w:eastAsia="zh-CN"/>
        </w:rPr>
        <w:t>在职职工19人，</w:t>
      </w:r>
      <w:r>
        <w:rPr>
          <w:rFonts w:hint="eastAsia" w:ascii="仿宋" w:hAnsi="仿宋" w:eastAsia="仿宋" w:cs="仿宋"/>
          <w:kern w:val="0"/>
          <w:sz w:val="32"/>
          <w:szCs w:val="32"/>
          <w:shd w:val="clear" w:color="auto" w:fill="FFFFFF"/>
        </w:rPr>
        <w:t>内设</w:t>
      </w:r>
      <w:r>
        <w:rPr>
          <w:rFonts w:hint="eastAsia" w:ascii="仿宋" w:hAnsi="仿宋" w:eastAsia="仿宋" w:cs="仿宋"/>
          <w:kern w:val="0"/>
          <w:sz w:val="32"/>
          <w:szCs w:val="32"/>
          <w:shd w:val="clear" w:color="auto" w:fill="FFFFFF"/>
          <w:lang w:eastAsia="zh-CN"/>
        </w:rPr>
        <w:t>科室</w:t>
      </w:r>
      <w:r>
        <w:rPr>
          <w:rFonts w:hint="eastAsia" w:ascii="仿宋" w:hAnsi="仿宋" w:eastAsia="仿宋" w:cs="仿宋"/>
          <w:kern w:val="0"/>
          <w:sz w:val="32"/>
          <w:szCs w:val="32"/>
          <w:shd w:val="clear" w:color="auto" w:fill="FFFFFF"/>
          <w:lang w:val="en-US" w:eastAsia="zh-CN"/>
        </w:rPr>
        <w:t>7个</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即：政工室、办公室、执法监督室、维稳指导室、反邪教协调室、综治督导室、宣传教育室</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主要职能是：深入贯彻习近平新时代中国特色社会主义思想，深入贯彻党的路线方针政策喝决策部署，统一政法各部门思想和行动，坚持党对政法工作的绝对领导，坚决维护党中央权威和集中统一领导</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深入贯彻党中央、省委、市委和区委决定，对全区政法工作研究提出全局性部署，推进平安双清、法治双清建设，加强过硬队伍建设，深化智能化建设，坚决维护国家政治安全、确保社会大局稳、促进社会公平正义、保障人民安居乐业</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了解掌握和分析研判政法工作情况动态，分析社会稳定形势，创新完善多部门参与的综合维稳工作机制，协调推动预防、化解影响稳定的社会矛盾和风险，协调应对和处置重大突发事件</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加强对政法工作的督查，统筹协调社会治安综合治理、维护社会稳定、反邪教、禁毒有关法律法规政策的实施工作</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组织开展政法领域的调查研究，研究拟订政法工作的重要措施，及时向区委提出建议</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掌握分析政法舆情动态，指导协调政法部门媒体网络宣传工作，指导政法部门做好涉及政法工作的重大宣传工作</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监督和支持政法各部门依法行使职权，指导和协调政法各部门密切配合，研究和协调重大、疑难案件、推进严格执法、公正司法</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组织研究政法改革中带有方向性、倾向性和普遍性的重大问题，深化政法改革</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指导推动政法系统党的建设和政法队伍建设</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 完成区委交办的其他任务。</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w:t>
      </w:r>
      <w:r>
        <w:rPr>
          <w:rFonts w:hint="eastAsia" w:ascii="仿宋" w:hAnsi="仿宋" w:eastAsia="仿宋" w:cs="仿宋"/>
          <w:kern w:val="0"/>
          <w:sz w:val="32"/>
          <w:szCs w:val="32"/>
          <w:lang w:val="en-US" w:eastAsia="zh-CN"/>
        </w:rPr>
        <w:t>相关专项</w:t>
      </w:r>
      <w:r>
        <w:rPr>
          <w:rFonts w:hint="eastAsia" w:ascii="仿宋" w:hAnsi="仿宋" w:eastAsia="仿宋" w:cs="仿宋"/>
          <w:kern w:val="0"/>
          <w:sz w:val="32"/>
          <w:szCs w:val="32"/>
          <w:lang w:eastAsia="zh-CN"/>
        </w:rPr>
        <w:t>工作及业务支出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2020年度预算收入</w:t>
      </w:r>
      <w:r>
        <w:rPr>
          <w:rFonts w:hint="eastAsia" w:ascii="宋体" w:hAnsi="宋体" w:eastAsia="宋体" w:cs="宋体"/>
          <w:i w:val="0"/>
          <w:iCs w:val="0"/>
          <w:caps w:val="0"/>
          <w:color w:val="000000"/>
          <w:spacing w:val="0"/>
          <w:sz w:val="32"/>
          <w:szCs w:val="32"/>
          <w:shd w:val="clear" w:color="auto" w:fill="FFFFFF"/>
        </w:rPr>
        <w:t>702.85</w:t>
      </w:r>
      <w:r>
        <w:rPr>
          <w:rFonts w:hint="eastAsia" w:ascii="仿宋" w:hAnsi="仿宋" w:eastAsia="仿宋" w:cs="仿宋"/>
          <w:kern w:val="0"/>
          <w:sz w:val="32"/>
          <w:szCs w:val="32"/>
        </w:rPr>
        <w:t>万元，预算支出</w:t>
      </w:r>
      <w:r>
        <w:rPr>
          <w:rFonts w:hint="eastAsia" w:ascii="宋体" w:hAnsi="宋体" w:eastAsia="宋体" w:cs="宋体"/>
          <w:i w:val="0"/>
          <w:iCs w:val="0"/>
          <w:caps w:val="0"/>
          <w:color w:val="000000"/>
          <w:spacing w:val="0"/>
          <w:sz w:val="32"/>
          <w:szCs w:val="32"/>
          <w:shd w:val="clear" w:color="auto" w:fill="FFFFFF"/>
        </w:rPr>
        <w:t>702.85</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2020年基本支出472.74万元，其中：工资福利支出</w:t>
      </w:r>
      <w:r>
        <w:rPr>
          <w:rFonts w:hint="eastAsia" w:ascii="仿宋" w:hAnsi="仿宋" w:eastAsia="仿宋" w:cs="仿宋"/>
          <w:kern w:val="0"/>
          <w:sz w:val="32"/>
          <w:szCs w:val="32"/>
          <w:lang w:val="en-US" w:eastAsia="zh-CN"/>
        </w:rPr>
        <w:t>332.11</w:t>
      </w:r>
      <w:r>
        <w:rPr>
          <w:rFonts w:hint="eastAsia" w:ascii="仿宋" w:hAnsi="仿宋" w:eastAsia="仿宋" w:cs="仿宋"/>
          <w:kern w:val="0"/>
          <w:sz w:val="32"/>
          <w:szCs w:val="32"/>
        </w:rPr>
        <w:t>万元，商品和服务支出</w:t>
      </w:r>
      <w:r>
        <w:rPr>
          <w:rFonts w:hint="eastAsia" w:ascii="仿宋" w:hAnsi="仿宋" w:eastAsia="仿宋" w:cs="仿宋"/>
          <w:kern w:val="0"/>
          <w:sz w:val="32"/>
          <w:szCs w:val="32"/>
          <w:lang w:val="en-US" w:eastAsia="zh-CN"/>
        </w:rPr>
        <w:t>140.63</w:t>
      </w:r>
      <w:r>
        <w:rPr>
          <w:rFonts w:hint="eastAsia" w:ascii="仿宋" w:hAnsi="仿宋" w:eastAsia="仿宋" w:cs="仿宋"/>
          <w:kern w:val="0"/>
          <w:sz w:val="32"/>
          <w:szCs w:val="32"/>
        </w:rPr>
        <w:t>万元，对个人和家庭补助支出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0.09</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0.09</w:t>
      </w:r>
      <w:r>
        <w:rPr>
          <w:rFonts w:hint="eastAsia" w:ascii="仿宋" w:hAnsi="仿宋" w:eastAsia="仿宋" w:cs="仿宋"/>
          <w:kern w:val="0"/>
          <w:sz w:val="32"/>
          <w:szCs w:val="32"/>
        </w:rPr>
        <w:t>元，比2019年度</w:t>
      </w:r>
      <w:r>
        <w:rPr>
          <w:rFonts w:hint="eastAsia" w:ascii="仿宋" w:hAnsi="仿宋" w:eastAsia="仿宋" w:cs="仿宋"/>
          <w:kern w:val="0"/>
          <w:sz w:val="32"/>
          <w:szCs w:val="32"/>
          <w:lang w:val="en-US" w:eastAsia="zh-CN"/>
        </w:rPr>
        <w:t>增加</w:t>
      </w:r>
      <w:r>
        <w:rPr>
          <w:rFonts w:hint="eastAsia" w:ascii="仿宋" w:hAnsi="仿宋" w:eastAsia="仿宋" w:cs="仿宋"/>
          <w:kern w:val="0"/>
          <w:sz w:val="32"/>
          <w:szCs w:val="32"/>
        </w:rPr>
        <w:t>了</w:t>
      </w:r>
      <w:r>
        <w:rPr>
          <w:rFonts w:hint="eastAsia" w:ascii="仿宋" w:hAnsi="仿宋" w:eastAsia="仿宋" w:cs="仿宋"/>
          <w:kern w:val="0"/>
          <w:sz w:val="32"/>
          <w:szCs w:val="32"/>
          <w:lang w:val="en-US" w:eastAsia="zh-CN"/>
        </w:rPr>
        <w:t>0.09万元。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（三）专项支出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1、2020年度用于</w:t>
      </w:r>
      <w:r>
        <w:rPr>
          <w:rFonts w:hint="eastAsia" w:ascii="仿宋" w:hAnsi="仿宋" w:eastAsia="仿宋" w:cs="仿宋"/>
          <w:kern w:val="0"/>
          <w:sz w:val="32"/>
          <w:szCs w:val="32"/>
          <w:lang w:eastAsia="zh-CN"/>
        </w:rPr>
        <w:t>开展</w:t>
      </w:r>
      <w:r>
        <w:rPr>
          <w:rFonts w:hint="eastAsia" w:ascii="仿宋" w:hAnsi="仿宋" w:eastAsia="仿宋" w:cs="仿宋"/>
          <w:kern w:val="0"/>
          <w:sz w:val="32"/>
          <w:szCs w:val="32"/>
          <w:lang w:val="en-US" w:eastAsia="zh-CN"/>
        </w:rPr>
        <w:t>相关专项</w:t>
      </w:r>
      <w:r>
        <w:rPr>
          <w:rFonts w:hint="eastAsia" w:ascii="仿宋" w:hAnsi="仿宋" w:eastAsia="仿宋" w:cs="仿宋"/>
          <w:kern w:val="0"/>
          <w:sz w:val="32"/>
          <w:szCs w:val="32"/>
          <w:lang w:eastAsia="zh-CN"/>
        </w:rPr>
        <w:t>工作及业务支出230.11</w:t>
      </w:r>
      <w:r>
        <w:rPr>
          <w:rFonts w:hint="eastAsia" w:ascii="仿宋" w:hAnsi="仿宋" w:eastAsia="仿宋" w:cs="仿宋"/>
          <w:kern w:val="0"/>
          <w:sz w:val="32"/>
          <w:szCs w:val="32"/>
        </w:rPr>
        <w:t>万元，结余</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2020年固定资产年初数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21446"/>
      <w:bookmarkStart w:id="1" w:name="_Toc22407"/>
      <w:bookmarkStart w:id="2" w:name="_Toc32578"/>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12780"/>
      <w:bookmarkStart w:id="4" w:name="_Toc22531"/>
      <w:bookmarkStart w:id="5" w:name="_Toc22734"/>
      <w:bookmarkStart w:id="6" w:name="_Toc11842"/>
      <w:bookmarkStart w:id="7" w:name="_Toc2315"/>
      <w:bookmarkStart w:id="8" w:name="_Toc6376"/>
      <w:bookmarkStart w:id="9" w:name="_Toc5938"/>
      <w:bookmarkStart w:id="10" w:name="_Toc23600"/>
      <w:bookmarkStart w:id="11" w:name="_Toc6076"/>
      <w:bookmarkStart w:id="12" w:name="_Toc27511"/>
      <w:bookmarkStart w:id="13" w:name="_Toc22165"/>
      <w:bookmarkStart w:id="14" w:name="_Toc22978"/>
      <w:bookmarkStart w:id="15" w:name="_Toc2974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2020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2020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预决算公开：2020年，按照上级的要求，我单位在政府网站上进行了预决算公开。</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资产管理：我们进一步加强资产的管理，明确具体责任人，完善了固定资产档案，严格报批、审核等手续，做好资产登记工作，单位无任何资产流失现象。</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三公经费控制情况：我单位贯彻落实上级有关精神，严格控制“三公经费”支出，取得了良好效果。具体情况如下：2020年“三公”经费0.09万元，其中公务接待费为0.09万元，无公务用车运行维护费和因公出国（境）费用。</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bookmarkStart w:id="17" w:name="_GoBack"/>
      <w:bookmarkEnd w:id="17"/>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2020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WYwZjRlOGI0YTU0ZTA5N2UxZGRlODAyMmJkMWMifQ=="/>
  </w:docVars>
  <w:rsids>
    <w:rsidRoot w:val="00000000"/>
    <w:rsid w:val="1CBD4177"/>
    <w:rsid w:val="24C632CB"/>
    <w:rsid w:val="26C27C44"/>
    <w:rsid w:val="331932AB"/>
    <w:rsid w:val="49B12E57"/>
    <w:rsid w:val="4CB7318A"/>
    <w:rsid w:val="517631D8"/>
    <w:rsid w:val="54257143"/>
    <w:rsid w:val="5B7C1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uiPriority w:val="0"/>
  </w:style>
  <w:style w:type="paragraph" w:customStyle="1" w:styleId="11">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4980</Words>
  <Characters>5209</Characters>
  <Lines>0</Lines>
  <Paragraphs>0</Paragraphs>
  <TotalTime>0</TotalTime>
  <ScaleCrop>false</ScaleCrop>
  <LinksUpToDate>false</LinksUpToDate>
  <CharactersWithSpaces>5368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86156</cp:lastModifiedBy>
  <dcterms:modified xsi:type="dcterms:W3CDTF">2022-09-13T12:01:57Z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9D43E6A4F01E481EB1A53E193B648953</vt:lpwstr>
  </property>
</Properties>
</file>