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44"/>
          <w:szCs w:val="44"/>
        </w:rPr>
        <w:t>20</w:t>
      </w:r>
      <w:r>
        <w:rPr>
          <w:rFonts w:hint="eastAsia" w:ascii="Times New Roman" w:hAnsi="Times New Roman" w:eastAsia="仿宋_GB2312" w:cs="Times New Roman"/>
          <w:sz w:val="44"/>
          <w:szCs w:val="44"/>
        </w:rPr>
        <w:t>2</w:t>
      </w: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44"/>
          <w:szCs w:val="44"/>
        </w:rPr>
        <w:t>年度部门整体支出绩效评价报告</w:t>
      </w: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单位名称:邵阳市双清区征地和房屋征收工作办公室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报告填报人:付毓灵 </w:t>
      </w: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jc w:val="center"/>
        <w:rPr>
          <w:rFonts w:ascii="仿宋" w:hAnsi="仿宋" w:eastAsia="仿宋" w:cs="仿宋"/>
          <w:sz w:val="28"/>
          <w:szCs w:val="20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spacing w:line="8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报告日期：202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18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p>
      <w:pPr>
        <w:spacing w:line="800" w:lineRule="exact"/>
        <w:jc w:val="center"/>
        <w:rPr>
          <w:rFonts w:ascii="仿宋" w:hAnsi="仿宋" w:eastAsia="仿宋" w:cs="仿宋"/>
          <w:kern w:val="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701" w:left="1588" w:header="1134" w:footer="1247" w:gutter="0"/>
          <w:paperSrc w:first="261" w:other="261"/>
          <w:cols w:space="720" w:num="1"/>
          <w:docGrid w:linePitch="579" w:charSpace="-3885"/>
        </w:sectPr>
      </w:pPr>
      <w:r>
        <w:rPr>
          <w:rFonts w:hint="eastAsia" w:ascii="仿宋" w:hAnsi="仿宋" w:eastAsia="仿宋" w:cs="仿宋"/>
          <w:sz w:val="36"/>
          <w:szCs w:val="36"/>
        </w:rPr>
        <w:t>（预算单位盖章）</w:t>
      </w:r>
    </w:p>
    <w:p>
      <w:pPr>
        <w:pStyle w:val="4"/>
        <w:widowControl/>
        <w:spacing w:before="75" w:beforeAutospacing="0" w:after="75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    一、部门、单位基本情况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部门基本情况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人员情况：本部门编制数1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人,在职人数1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人,其中:在岗人数1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人；离退休人数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人,其中离休人员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人,退休人员0人。</w:t>
      </w:r>
    </w:p>
    <w:p>
      <w:pPr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机构设置：邵阳市双清区征地和房屋征收工作办公室为全额拨款的事业单位。</w:t>
      </w:r>
    </w:p>
    <w:p>
      <w:pPr>
        <w:pStyle w:val="7"/>
        <w:spacing w:before="0" w:beforeAutospacing="0" w:after="2" w:afterAutospacing="0"/>
        <w:ind w:firstLine="641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主要职能：</w:t>
      </w:r>
      <w:r>
        <w:rPr>
          <w:rFonts w:hint="eastAsia" w:ascii="仿宋" w:hAnsi="仿宋" w:eastAsia="仿宋" w:cs="仿宋"/>
          <w:kern w:val="2"/>
          <w:sz w:val="32"/>
          <w:szCs w:val="32"/>
        </w:rPr>
        <w:t>依据国家、省、市有关征收管理法规、政策对全区范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围内集体土地征收，国有、集体土地上房屋征收和补偿工作的实施、协调、监督和管理。负责监督、管理征收补偿资金的使用以及征收委托合同的备案。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二、一般公共预算支出情况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1、基本支出情况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年部门基本支出数为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285.89</w:t>
      </w:r>
      <w:r>
        <w:rPr>
          <w:rFonts w:hint="eastAsia" w:ascii="仿宋" w:hAnsi="仿宋" w:eastAsia="仿宋" w:cs="仿宋"/>
          <w:sz w:val="32"/>
          <w:szCs w:val="32"/>
        </w:rPr>
        <w:t>万元，主要用于征收办的日常支出、在职人员工资福利、三公经费的支出。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2、项目支出情况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年部门项目支出数为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341.14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用于征收工作相关费用的支出。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三、部门整体支出绩效情况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1、绩效目标设置情况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按照区级预算绩效管理工作的总体要求，202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年征收办整体支出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627.03</w:t>
      </w:r>
      <w:r>
        <w:rPr>
          <w:rFonts w:hint="eastAsia" w:ascii="仿宋" w:hAnsi="仿宋" w:eastAsia="仿宋" w:cs="仿宋"/>
          <w:sz w:val="32"/>
          <w:szCs w:val="32"/>
        </w:rPr>
        <w:t>万元，编报绩效目标的项目0个，全部实行支出绩效目标管理。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2、绩效目标完成情况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年部门基本支出数为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285.89</w:t>
      </w:r>
      <w:r>
        <w:rPr>
          <w:rFonts w:hint="eastAsia" w:ascii="仿宋" w:hAnsi="仿宋" w:eastAsia="仿宋" w:cs="仿宋"/>
          <w:sz w:val="32"/>
          <w:szCs w:val="32"/>
        </w:rPr>
        <w:t>万元，主要用于我单位的日常支出、在职人员工资福利、三公经费的支出。全部实行支出绩效目标管理。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年部门项目支出数为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341.14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用于征收工作相关费用的支出。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我办对各征收项目严格按照征收相关法律法规及财务制度执行，无违规现象。</w:t>
      </w:r>
    </w:p>
    <w:p>
      <w:pPr>
        <w:pStyle w:val="8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3、资产管理情况</w:t>
      </w:r>
    </w:p>
    <w:p>
      <w:pPr>
        <w:pStyle w:val="8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固定资产实行动态管理，实现常太化和正规化。做到账实相符。</w:t>
      </w:r>
    </w:p>
    <w:p>
      <w:pPr>
        <w:pStyle w:val="8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4、三公经费控制情况</w:t>
      </w:r>
    </w:p>
    <w:p>
      <w:pPr>
        <w:pStyle w:val="8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我单位贯彻落实上级有关精神，严格控制“三公”经费的规模和比例，严把“三公”经费支出的审核、审批。具体情况如下：202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年“三公”经费0万元，其中公务接待费为0万元，公务用车运行维护费和因公出国（境）费用0万元。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四、存在的主要问题及下一步改进措施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进一步严格执行预算管理制度，严格实施预算绩效管理要求，提升财政资源配置效率和财政资金使用效益。</w:t>
      </w:r>
    </w:p>
    <w:p>
      <w:pPr>
        <w:pStyle w:val="4"/>
        <w:widowControl/>
        <w:spacing w:before="75" w:beforeAutospacing="0" w:after="75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五、绩效自评结果拟应用和公开情况</w:t>
      </w:r>
    </w:p>
    <w:p>
      <w:pPr>
        <w:pStyle w:val="4"/>
        <w:widowControl/>
        <w:spacing w:before="75" w:beforeAutospacing="0" w:after="75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  六、其他需要说明的情况</w:t>
      </w:r>
    </w:p>
    <w:p>
      <w:pPr>
        <w:pStyle w:val="4"/>
        <w:widowControl/>
        <w:spacing w:before="75" w:beforeAutospacing="0" w:after="75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无</w:t>
      </w:r>
    </w:p>
    <w:p>
      <w:pPr>
        <w:ind w:firstLine="880" w:firstLineChars="200"/>
        <w:rPr>
          <w:rFonts w:ascii="Times New Roman" w:hAnsi="Times New Roman" w:eastAsia="仿宋_GB2312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NZgOy28AQAAm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jgyZjRjNjMxODMzYjU0ZDhmYTYxMmZiMWZmNjkifQ=="/>
  </w:docVars>
  <w:rsids>
    <w:rsidRoot w:val="00000000"/>
    <w:rsid w:val="257D53FE"/>
    <w:rsid w:val="48CB1710"/>
    <w:rsid w:val="7537729E"/>
    <w:rsid w:val="7F4B0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822</Words>
  <Characters>96</Characters>
  <Lines>1</Lines>
  <Paragraphs>1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2022-06-28T07:23:00Z</dcterms:created>
  <dc:creator>Administrator</dc:creator>
  <cp:lastModifiedBy>陈世斌</cp:lastModifiedBy>
  <dcterms:modified xsi:type="dcterms:W3CDTF">2023-09-19T09:50:01Z</dcterms:modified>
  <dc:title>2021年度部门整体支出绩效评价报告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426E5C697B5B43AB975C44DF83FFDC7D_13</vt:lpwstr>
  </property>
</Properties>
</file>