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880" w:firstLineChars="200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20</w:t>
      </w:r>
      <w:r>
        <w:rPr>
          <w:rFonts w:hint="eastAsia" w:ascii="Times New Roman" w:hAnsi="Times New Roman" w:eastAsia="仿宋_GB2312" w:cs="Times New Roman"/>
          <w:sz w:val="44"/>
          <w:szCs w:val="44"/>
        </w:rPr>
        <w:t>2</w:t>
      </w: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44"/>
          <w:szCs w:val="44"/>
        </w:rPr>
        <w:t>年度部门整体支出绩效评价报告</w:t>
      </w: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单位名称:邵阳市双清区征地和房屋征收工作办公室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报告填报人:付毓灵 </w:t>
      </w: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报告日期：202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12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p>
      <w:pPr>
        <w:spacing w:line="800" w:lineRule="exact"/>
        <w:jc w:val="center"/>
        <w:rPr>
          <w:rFonts w:ascii="仿宋" w:hAnsi="仿宋" w:eastAsia="仿宋" w:cs="仿宋"/>
          <w:kern w:val="0"/>
          <w:sz w:val="44"/>
          <w:szCs w:val="44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2098" w:right="1474" w:bottom="1701" w:left="1588" w:header="1134" w:footer="1247" w:gutter="0"/>
          <w:paperSrc w:first="261" w:other="261"/>
          <w:cols w:space="720" w:num="1"/>
          <w:docGrid w:linePitch="579" w:charSpace="-3885"/>
        </w:sectPr>
      </w:pPr>
      <w:r>
        <w:rPr>
          <w:rFonts w:hint="eastAsia" w:ascii="仿宋" w:hAnsi="仿宋" w:eastAsia="仿宋" w:cs="仿宋"/>
          <w:sz w:val="36"/>
          <w:szCs w:val="36"/>
        </w:rPr>
        <w:t>（预算单位盖章）</w:t>
      </w:r>
    </w:p>
    <w:p>
      <w:pPr>
        <w:pStyle w:val="4"/>
        <w:widowControl/>
        <w:spacing w:before="75" w:beforeAutospacing="0" w:after="75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    一、部门、单位基本情况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部门基本情况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人员情况：本部门编制数16人,在职人数16人,其中:在岗人数16人；离退休人数0人,其中离休人员0人,退休人员0人。</w:t>
      </w: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机构设置：邵阳市双清区征地和房屋征收工作办公室为全额拨款的事业单位。</w:t>
      </w:r>
    </w:p>
    <w:p>
      <w:pPr>
        <w:pStyle w:val="6"/>
        <w:spacing w:before="0" w:beforeAutospacing="0" w:after="2" w:afterAutospacing="0"/>
        <w:ind w:firstLine="641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主要职能：</w:t>
      </w:r>
      <w:r>
        <w:rPr>
          <w:rFonts w:hint="eastAsia" w:ascii="仿宋" w:hAnsi="仿宋" w:eastAsia="仿宋" w:cs="仿宋"/>
          <w:kern w:val="2"/>
          <w:sz w:val="32"/>
          <w:szCs w:val="32"/>
        </w:rPr>
        <w:t>依据国家、省、市有关征收管理法规、政策对全区范围内集体土地征收，国有、集体土地上房屋征收和补偿工作的实施、协调、监督和管理。负责监督、管理征收补偿资金的使用以及征收委托合同的备案。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二、一般公共预算支出情况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1、基本支出情况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年部门基本支出数为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267.02</w:t>
      </w:r>
      <w:r>
        <w:rPr>
          <w:rFonts w:hint="eastAsia" w:ascii="仿宋" w:hAnsi="仿宋" w:eastAsia="仿宋" w:cs="仿宋"/>
          <w:sz w:val="32"/>
          <w:szCs w:val="32"/>
        </w:rPr>
        <w:t>万元，主要用于征收办的日常支出、在职人员工资福利、三公经费的支出。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2、项目支出情况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年部门项目支出数为0万元，无用于征收工作相关费用的支出。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三、部门整体支出绩效情况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1、绩效目标设置情况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按照区级预算绩效管理工作的总体要求，202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年征收办整体支出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267.02</w:t>
      </w:r>
      <w:r>
        <w:rPr>
          <w:rFonts w:hint="eastAsia" w:ascii="仿宋" w:hAnsi="仿宋" w:eastAsia="仿宋" w:cs="仿宋"/>
          <w:sz w:val="32"/>
          <w:szCs w:val="32"/>
        </w:rPr>
        <w:t>万元，编报绩效目标的项目0个，全部实行支出绩效目标管理。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2、绩效目标完成情况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年部门基本支出数为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267.02</w:t>
      </w:r>
      <w:r>
        <w:rPr>
          <w:rFonts w:hint="eastAsia" w:ascii="仿宋" w:hAnsi="仿宋" w:eastAsia="仿宋" w:cs="仿宋"/>
          <w:sz w:val="32"/>
          <w:szCs w:val="32"/>
        </w:rPr>
        <w:t>万元，主要用于我单位的日常支出、在职人员工资福利、三公经费的支出。全部实行支出绩效目标管理。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年部门项目支出数为0万元，无用于征收工作相关费用的支出。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我办对各征收项目严格按照征收相关法律法规及财务制度执行，无违规现象。</w:t>
      </w:r>
      <w:bookmarkStart w:id="0" w:name="_GoBack"/>
      <w:bookmarkEnd w:id="0"/>
    </w:p>
    <w:p>
      <w:pPr>
        <w:pStyle w:val="7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3、资产管理情况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固定资产实行动态管理，实现常太化和正规化。做到账实相符。</w:t>
      </w:r>
    </w:p>
    <w:p>
      <w:pPr>
        <w:pStyle w:val="7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4、三公经费控制情况</w:t>
      </w:r>
    </w:p>
    <w:p>
      <w:pPr>
        <w:pStyle w:val="7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我单位贯彻落实上级有关精神，严格控制“三公”经费的规模和比例，严把“三公”经费支出的审核、审批。具体情况如下：202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年“三公”经费0万元，其中公务接待费为0万元，公务用车运行维护费和因公出国（境）费用0万元。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四、存在的主要问题及下一步改进措施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进一步严格执行预算管理制度，严格实施预算绩效管理要求，提升财政资源配置效率和财政资金使用效益。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五、绩效自评结果拟应用和公开情况</w:t>
      </w:r>
    </w:p>
    <w:p>
      <w:pPr>
        <w:pStyle w:val="4"/>
        <w:widowControl/>
        <w:spacing w:before="75" w:beforeAutospacing="0" w:after="75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  六、其他需要说明的情况</w:t>
      </w:r>
    </w:p>
    <w:p>
      <w:pPr>
        <w:pStyle w:val="4"/>
        <w:widowControl/>
        <w:spacing w:before="75" w:beforeAutospacing="0" w:after="75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无</w:t>
      </w:r>
    </w:p>
    <w:p>
      <w:pPr>
        <w:ind w:firstLine="880" w:firstLineChars="200"/>
        <w:rPr>
          <w:rFonts w:ascii="Times New Roman" w:hAnsi="Times New Roman" w:eastAsia="仿宋_GB2312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wordWrap w:val="0"/>
      <w:jc w:val="right"/>
      <w:rPr>
        <w:sz w:val="28"/>
        <w:szCs w:val="28"/>
      </w:rPr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Quad Arrow 2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wordWrap w:val="0"/>
                  <w:jc w:val="right"/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822</Words>
  <Characters>96</Characters>
  <Lines>1</Lines>
  <Paragraphs>1</Paragraphs>
  <TotalTime>0</TotalTime>
  <ScaleCrop>false</ScaleCrop>
  <LinksUpToDate>false</LinksUpToDate>
  <CharactersWithSpaces>0</CharactersWithSpaces>
  <Application>WPS Office 个人版_9.1.0.4739_{F1E327BC-269C-435d-A152-05C5408002CA}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2022-06-28T07:23:00Z</dcterms:created>
  <dc:creator>Administrator</dc:creator>
  <cp:lastModifiedBy>Administrator</cp:lastModifiedBy>
  <dcterms:modified xsi:type="dcterms:W3CDTF">2022-10-14T01:44:10Z</dcterms:modified>
  <dc:title>2021年度部门整体支出绩效评价报告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  <property fmtid="{D5CDD505-2E9C-101B-9397-08002B2CF9AE}" pid="3" name="ICV">
    <vt:lpwstr>8F3D7AB7ECF645259066B518952367EC</vt:lpwstr>
  </property>
</Properties>
</file>