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w:t>
      </w: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年度部门整体支出绩效评价报告</w:t>
      </w:r>
    </w:p>
    <w:p>
      <w:pPr>
        <w:shd w:val="clear" w:color="auto" w:fill="FFFFFF"/>
        <w:spacing w:line="410" w:lineRule="atLeast"/>
        <w:rPr>
          <w:rFonts w:cs="宋体" w:asciiTheme="minorEastAsia" w:hAnsiTheme="minorEastAsia"/>
          <w:b/>
          <w:color w:val="333333"/>
          <w:kern w:val="0"/>
          <w:sz w:val="32"/>
          <w:szCs w:val="32"/>
        </w:rPr>
      </w:pPr>
      <w:r>
        <w:rPr>
          <w:rFonts w:hint="eastAsia" w:cs="宋体" w:asciiTheme="minorEastAsia" w:hAnsiTheme="minorEastAsia"/>
          <w:b/>
          <w:color w:val="333333"/>
          <w:kern w:val="0"/>
          <w:sz w:val="32"/>
          <w:szCs w:val="32"/>
        </w:rPr>
        <w:t>一、部门概况</w:t>
      </w:r>
    </w:p>
    <w:p>
      <w:pPr>
        <w:pStyle w:val="2"/>
        <w:shd w:val="clear" w:color="auto" w:fill="FFFFFF"/>
        <w:spacing w:before="0" w:beforeAutospacing="0" w:after="0" w:afterAutospacing="0"/>
        <w:ind w:firstLine="480"/>
        <w:rPr>
          <w:rFonts w:ascii="Arial" w:hAnsi="Arial" w:cs="Arial"/>
          <w:color w:val="333333"/>
          <w:sz w:val="26"/>
          <w:szCs w:val="26"/>
        </w:rPr>
      </w:pPr>
      <w:r>
        <w:rPr>
          <w:rFonts w:ascii="Arial" w:hAnsi="Arial" w:cs="Arial"/>
          <w:b/>
          <w:bCs/>
          <w:color w:val="333333"/>
          <w:sz w:val="26"/>
          <w:szCs w:val="26"/>
        </w:rPr>
        <w:t>（一）部门基本情况</w:t>
      </w:r>
    </w:p>
    <w:p>
      <w:pPr>
        <w:pStyle w:val="2"/>
        <w:shd w:val="clear" w:color="auto" w:fill="FFFFFF"/>
        <w:spacing w:before="0" w:beforeAutospacing="0" w:after="0" w:afterAutospacing="0"/>
        <w:ind w:firstLine="480"/>
        <w:rPr>
          <w:rFonts w:ascii="Arial" w:hAnsi="Arial" w:cs="Arial"/>
          <w:color w:val="333333"/>
          <w:sz w:val="26"/>
          <w:szCs w:val="26"/>
        </w:rPr>
      </w:pPr>
      <w:r>
        <w:rPr>
          <w:rFonts w:ascii="Arial" w:hAnsi="Arial" w:cs="Arial"/>
          <w:color w:val="333333"/>
          <w:sz w:val="26"/>
          <w:szCs w:val="26"/>
        </w:rPr>
        <w:t>我局核定编制</w:t>
      </w:r>
      <w:r>
        <w:rPr>
          <w:rFonts w:hint="eastAsia" w:ascii="Arial" w:hAnsi="Arial" w:cs="Arial"/>
          <w:color w:val="333333"/>
          <w:sz w:val="26"/>
          <w:szCs w:val="26"/>
          <w:lang w:val="en-US" w:eastAsia="zh-CN"/>
        </w:rPr>
        <w:t>18</w:t>
      </w:r>
      <w:r>
        <w:rPr>
          <w:rFonts w:ascii="Arial" w:hAnsi="Arial" w:cs="Arial"/>
          <w:color w:val="333333"/>
          <w:sz w:val="26"/>
          <w:szCs w:val="26"/>
        </w:rPr>
        <w:t>个，现在岗</w:t>
      </w:r>
      <w:r>
        <w:rPr>
          <w:rFonts w:hint="eastAsia" w:ascii="Arial" w:hAnsi="Arial" w:cs="Arial"/>
          <w:color w:val="333333"/>
          <w:sz w:val="26"/>
          <w:szCs w:val="26"/>
          <w:lang w:val="en-US" w:eastAsia="zh-CN"/>
        </w:rPr>
        <w:t>18</w:t>
      </w:r>
      <w:r>
        <w:rPr>
          <w:rFonts w:ascii="Arial" w:hAnsi="Arial" w:cs="Arial"/>
          <w:color w:val="333333"/>
          <w:sz w:val="26"/>
          <w:szCs w:val="26"/>
        </w:rPr>
        <w:t>人，内设综合办公室、</w:t>
      </w:r>
      <w:r>
        <w:rPr>
          <w:rFonts w:hint="eastAsia" w:ascii="Arial" w:hAnsi="Arial" w:cs="Arial"/>
          <w:color w:val="333333"/>
          <w:sz w:val="26"/>
          <w:szCs w:val="26"/>
          <w:lang w:val="en-US" w:eastAsia="zh-CN"/>
        </w:rPr>
        <w:t>公共卫生监督股、学校卫生股、生活饮用水监督股、职业病防治监督股、医疗机构监督股</w:t>
      </w:r>
      <w:r>
        <w:rPr>
          <w:rFonts w:ascii="Arial" w:hAnsi="Arial" w:cs="Arial"/>
          <w:color w:val="333333"/>
          <w:sz w:val="26"/>
          <w:szCs w:val="26"/>
        </w:rPr>
        <w:t>等</w:t>
      </w:r>
      <w:r>
        <w:rPr>
          <w:rFonts w:hint="eastAsia" w:ascii="Arial" w:hAnsi="Arial" w:cs="Arial"/>
          <w:color w:val="333333"/>
          <w:sz w:val="26"/>
          <w:szCs w:val="26"/>
          <w:lang w:val="en-US" w:eastAsia="zh-CN"/>
        </w:rPr>
        <w:t>6</w:t>
      </w:r>
      <w:r>
        <w:rPr>
          <w:rFonts w:ascii="Arial" w:hAnsi="Arial" w:cs="Arial"/>
          <w:color w:val="333333"/>
          <w:sz w:val="26"/>
          <w:szCs w:val="26"/>
        </w:rPr>
        <w:t>个职能股室。主要职能是依法承担全区公共卫生、医疗卫生及计划生育综合监督执法等工作。具体包括卫生计生专项整治和日常监督检查；社会抚养费的征收和计生违法违纪案件办理；卫生计生监督执法业务指导、法治宣传和执法人员的培训、信息管理等工作。</w:t>
      </w:r>
    </w:p>
    <w:p>
      <w:pPr>
        <w:pStyle w:val="2"/>
        <w:shd w:val="clear" w:color="auto" w:fill="FFFFFF"/>
        <w:spacing w:before="0" w:beforeAutospacing="0" w:after="0" w:afterAutospacing="0"/>
        <w:ind w:firstLine="480"/>
        <w:rPr>
          <w:rFonts w:ascii="Arial" w:hAnsi="Arial" w:cs="Arial"/>
          <w:color w:val="333333"/>
          <w:sz w:val="26"/>
          <w:szCs w:val="26"/>
        </w:rPr>
      </w:pPr>
      <w:r>
        <w:rPr>
          <w:rFonts w:ascii="Arial" w:hAnsi="Arial" w:cs="Arial"/>
          <w:b/>
          <w:bCs/>
          <w:color w:val="333333"/>
          <w:sz w:val="26"/>
          <w:szCs w:val="26"/>
        </w:rPr>
        <w:t>（二）部门整体支出</w:t>
      </w:r>
    </w:p>
    <w:p>
      <w:pPr>
        <w:pStyle w:val="2"/>
        <w:shd w:val="clear" w:color="auto" w:fill="FFFFFF"/>
        <w:spacing w:before="0" w:beforeAutospacing="0" w:after="0" w:afterAutospacing="0"/>
        <w:ind w:firstLine="480"/>
        <w:rPr>
          <w:rFonts w:hint="default" w:ascii="Arial" w:hAnsi="Arial" w:eastAsia="宋体" w:cs="Arial"/>
          <w:color w:val="333333"/>
          <w:sz w:val="26"/>
          <w:szCs w:val="26"/>
          <w:lang w:val="en-US" w:eastAsia="zh-CN"/>
        </w:rPr>
      </w:pPr>
      <w:r>
        <w:rPr>
          <w:rFonts w:ascii="Arial" w:hAnsi="Arial" w:cs="Arial"/>
          <w:color w:val="333333"/>
          <w:sz w:val="26"/>
          <w:szCs w:val="26"/>
        </w:rPr>
        <w:t>202</w:t>
      </w:r>
      <w:r>
        <w:rPr>
          <w:rFonts w:hint="eastAsia" w:ascii="Arial" w:hAnsi="Arial" w:cs="Arial"/>
          <w:color w:val="333333"/>
          <w:sz w:val="26"/>
          <w:szCs w:val="26"/>
          <w:lang w:val="en-US" w:eastAsia="zh-CN"/>
        </w:rPr>
        <w:t>2</w:t>
      </w:r>
      <w:r>
        <w:rPr>
          <w:rFonts w:ascii="Arial" w:hAnsi="Arial" w:cs="Arial"/>
          <w:color w:val="333333"/>
          <w:sz w:val="26"/>
          <w:szCs w:val="26"/>
        </w:rPr>
        <w:t>年支出决算</w:t>
      </w:r>
      <w:r>
        <w:rPr>
          <w:rFonts w:hint="eastAsia" w:ascii="Arial" w:hAnsi="Arial" w:cs="Arial"/>
          <w:color w:val="333333"/>
          <w:sz w:val="26"/>
          <w:szCs w:val="26"/>
          <w:lang w:val="en-US" w:eastAsia="zh-CN"/>
        </w:rPr>
        <w:t>363.91</w:t>
      </w:r>
      <w:r>
        <w:rPr>
          <w:rFonts w:ascii="Arial" w:hAnsi="Arial" w:cs="Arial"/>
          <w:color w:val="333333"/>
          <w:sz w:val="26"/>
          <w:szCs w:val="26"/>
        </w:rPr>
        <w:t>万元，其中：基本支出</w:t>
      </w:r>
      <w:r>
        <w:rPr>
          <w:rFonts w:hint="eastAsia" w:ascii="Arial" w:hAnsi="Arial" w:cs="Arial"/>
          <w:color w:val="333333"/>
          <w:sz w:val="26"/>
          <w:szCs w:val="26"/>
          <w:lang w:val="en-US" w:eastAsia="zh-CN"/>
        </w:rPr>
        <w:t>343.91</w:t>
      </w:r>
      <w:r>
        <w:rPr>
          <w:rFonts w:ascii="Arial" w:hAnsi="Arial" w:cs="Arial"/>
          <w:color w:val="333333"/>
          <w:sz w:val="26"/>
          <w:szCs w:val="26"/>
        </w:rPr>
        <w:t>万元</w:t>
      </w:r>
      <w:r>
        <w:rPr>
          <w:rFonts w:hint="eastAsia" w:ascii="Arial" w:hAnsi="Arial" w:cs="Arial"/>
          <w:color w:val="333333"/>
          <w:sz w:val="26"/>
          <w:szCs w:val="26"/>
          <w:lang w:eastAsia="zh-CN"/>
        </w:rPr>
        <w:t>，</w:t>
      </w:r>
      <w:r>
        <w:rPr>
          <w:rFonts w:hint="eastAsia" w:ascii="Arial" w:hAnsi="Arial" w:cs="Arial"/>
          <w:color w:val="333333"/>
          <w:sz w:val="26"/>
          <w:szCs w:val="26"/>
          <w:lang w:val="en-US" w:eastAsia="zh-CN"/>
        </w:rPr>
        <w:t>项目支出20万元。</w:t>
      </w:r>
    </w:p>
    <w:p>
      <w:pPr>
        <w:pStyle w:val="2"/>
        <w:shd w:val="clear" w:color="auto" w:fill="FFFFFF"/>
        <w:spacing w:before="0" w:beforeAutospacing="0" w:after="0" w:afterAutospacing="0"/>
        <w:ind w:firstLine="480"/>
        <w:rPr>
          <w:rFonts w:ascii="Arial" w:hAnsi="Arial" w:cs="Arial"/>
          <w:color w:val="333333"/>
          <w:sz w:val="26"/>
          <w:szCs w:val="26"/>
        </w:rPr>
      </w:pPr>
      <w:r>
        <w:rPr>
          <w:rFonts w:ascii="Arial" w:hAnsi="Arial" w:cs="Arial"/>
          <w:b/>
          <w:bCs/>
          <w:color w:val="333333"/>
          <w:sz w:val="26"/>
          <w:szCs w:val="26"/>
        </w:rPr>
        <w:t>（三）部门整体支出管理及使用情况</w:t>
      </w:r>
    </w:p>
    <w:p>
      <w:pPr>
        <w:pStyle w:val="2"/>
        <w:shd w:val="clear" w:color="auto" w:fill="FFFFFF"/>
        <w:spacing w:before="0" w:beforeAutospacing="0" w:after="0" w:afterAutospacing="0"/>
        <w:ind w:firstLine="480"/>
        <w:rPr>
          <w:rFonts w:ascii="Arial" w:hAnsi="Arial" w:cs="Arial"/>
          <w:color w:val="333333"/>
          <w:sz w:val="26"/>
          <w:szCs w:val="26"/>
        </w:rPr>
      </w:pPr>
      <w:r>
        <w:rPr>
          <w:rFonts w:ascii="Arial" w:hAnsi="Arial" w:cs="Arial"/>
          <w:color w:val="333333"/>
          <w:sz w:val="26"/>
          <w:szCs w:val="26"/>
        </w:rPr>
        <w:t>基本支出</w:t>
      </w:r>
      <w:r>
        <w:rPr>
          <w:rFonts w:hint="eastAsia" w:ascii="Arial" w:hAnsi="Arial" w:cs="Arial"/>
          <w:color w:val="333333"/>
          <w:sz w:val="26"/>
          <w:szCs w:val="26"/>
          <w:lang w:val="en-US" w:eastAsia="zh-CN"/>
        </w:rPr>
        <w:t>343.91</w:t>
      </w:r>
      <w:r>
        <w:rPr>
          <w:rFonts w:ascii="Arial" w:hAnsi="Arial" w:cs="Arial"/>
          <w:color w:val="333333"/>
          <w:sz w:val="26"/>
          <w:szCs w:val="26"/>
        </w:rPr>
        <w:t>万元，其中人员经费支出</w:t>
      </w:r>
      <w:r>
        <w:rPr>
          <w:rFonts w:hint="eastAsia" w:ascii="Arial" w:hAnsi="Arial" w:cs="Arial"/>
          <w:color w:val="333333"/>
          <w:sz w:val="26"/>
          <w:szCs w:val="26"/>
          <w:lang w:val="en-US" w:eastAsia="zh-CN"/>
        </w:rPr>
        <w:t>268.27</w:t>
      </w:r>
      <w:r>
        <w:rPr>
          <w:rFonts w:ascii="Arial" w:hAnsi="Arial" w:cs="Arial"/>
          <w:color w:val="333333"/>
          <w:sz w:val="26"/>
          <w:szCs w:val="26"/>
        </w:rPr>
        <w:t>万元，公用经费支出</w:t>
      </w:r>
      <w:r>
        <w:rPr>
          <w:rFonts w:hint="eastAsia" w:ascii="Arial" w:hAnsi="Arial" w:cs="Arial"/>
          <w:color w:val="333333"/>
          <w:sz w:val="26"/>
          <w:szCs w:val="26"/>
          <w:lang w:val="en-US" w:eastAsia="zh-CN"/>
        </w:rPr>
        <w:t>75.64</w:t>
      </w:r>
      <w:r>
        <w:rPr>
          <w:rFonts w:ascii="Arial" w:hAnsi="Arial" w:cs="Arial"/>
          <w:color w:val="333333"/>
          <w:sz w:val="26"/>
          <w:szCs w:val="26"/>
        </w:rPr>
        <w:t>万元，主要含办公费、水电费、差旅费、</w:t>
      </w:r>
      <w:r>
        <w:rPr>
          <w:rFonts w:hint="eastAsia" w:ascii="Arial" w:hAnsi="Arial" w:cs="Arial"/>
          <w:color w:val="333333"/>
          <w:sz w:val="26"/>
          <w:szCs w:val="26"/>
          <w:lang w:val="en-US" w:eastAsia="zh-CN"/>
        </w:rPr>
        <w:t>培训</w:t>
      </w:r>
      <w:r>
        <w:rPr>
          <w:rFonts w:ascii="Arial" w:hAnsi="Arial" w:cs="Arial"/>
          <w:color w:val="333333"/>
          <w:sz w:val="26"/>
          <w:szCs w:val="26"/>
        </w:rPr>
        <w:t>费、办公设备购置费等机关运行经费，是为保障单位正常运转、完成日常工作任务而发生的各项支出。</w:t>
      </w:r>
    </w:p>
    <w:p>
      <w:pPr>
        <w:pStyle w:val="2"/>
        <w:shd w:val="clear" w:color="auto" w:fill="FFFFFF"/>
        <w:spacing w:before="0" w:beforeAutospacing="0" w:after="0" w:afterAutospacing="0"/>
        <w:ind w:firstLine="480"/>
        <w:rPr>
          <w:rFonts w:ascii="Arial" w:hAnsi="Arial" w:cs="Arial"/>
          <w:color w:val="333333"/>
          <w:sz w:val="26"/>
          <w:szCs w:val="26"/>
        </w:rPr>
      </w:pPr>
      <w:r>
        <w:rPr>
          <w:rFonts w:ascii="Arial" w:hAnsi="Arial" w:cs="Arial"/>
          <w:color w:val="333333"/>
          <w:sz w:val="26"/>
          <w:szCs w:val="26"/>
        </w:rPr>
        <w:t>202</w:t>
      </w:r>
      <w:r>
        <w:rPr>
          <w:rFonts w:hint="eastAsia" w:ascii="Arial" w:hAnsi="Arial" w:cs="Arial"/>
          <w:color w:val="333333"/>
          <w:sz w:val="26"/>
          <w:szCs w:val="26"/>
          <w:lang w:val="en-US" w:eastAsia="zh-CN"/>
        </w:rPr>
        <w:t>2</w:t>
      </w:r>
      <w:r>
        <w:rPr>
          <w:rFonts w:ascii="Arial" w:hAnsi="Arial" w:cs="Arial"/>
          <w:color w:val="333333"/>
          <w:sz w:val="26"/>
          <w:szCs w:val="26"/>
        </w:rPr>
        <w:t>年三公经费决算为</w:t>
      </w:r>
      <w:r>
        <w:rPr>
          <w:rFonts w:hint="eastAsia" w:ascii="Arial" w:hAnsi="Arial" w:cs="Arial"/>
          <w:color w:val="333333"/>
          <w:sz w:val="26"/>
          <w:szCs w:val="26"/>
          <w:lang w:val="en-US" w:eastAsia="zh-CN"/>
        </w:rPr>
        <w:t>0</w:t>
      </w:r>
      <w:r>
        <w:rPr>
          <w:rFonts w:ascii="Arial" w:hAnsi="Arial" w:cs="Arial"/>
          <w:color w:val="333333"/>
          <w:sz w:val="26"/>
          <w:szCs w:val="26"/>
        </w:rPr>
        <w:t>万元，其中：因公出国（境）费0.00万元，公务用车购置及运行费</w:t>
      </w:r>
      <w:r>
        <w:rPr>
          <w:rFonts w:hint="eastAsia" w:ascii="Arial" w:hAnsi="Arial" w:cs="Arial"/>
          <w:color w:val="333333"/>
          <w:sz w:val="26"/>
          <w:szCs w:val="26"/>
          <w:lang w:val="en-US" w:eastAsia="zh-CN"/>
        </w:rPr>
        <w:t>0</w:t>
      </w:r>
      <w:r>
        <w:rPr>
          <w:rFonts w:ascii="Arial" w:hAnsi="Arial" w:cs="Arial"/>
          <w:color w:val="333333"/>
          <w:sz w:val="26"/>
          <w:szCs w:val="26"/>
        </w:rPr>
        <w:t>万元（其中：购置费0.00万元、运行费</w:t>
      </w:r>
      <w:r>
        <w:rPr>
          <w:rFonts w:hint="eastAsia" w:ascii="Arial" w:hAnsi="Arial" w:cs="Arial"/>
          <w:color w:val="333333"/>
          <w:sz w:val="26"/>
          <w:szCs w:val="26"/>
          <w:lang w:val="en-US" w:eastAsia="zh-CN"/>
        </w:rPr>
        <w:t>0</w:t>
      </w:r>
      <w:r>
        <w:rPr>
          <w:rFonts w:ascii="Arial" w:hAnsi="Arial" w:cs="Arial"/>
          <w:color w:val="333333"/>
          <w:sz w:val="26"/>
          <w:szCs w:val="26"/>
        </w:rPr>
        <w:t>万元），公务接待费</w:t>
      </w:r>
      <w:r>
        <w:rPr>
          <w:rFonts w:hint="eastAsia" w:ascii="Arial" w:hAnsi="Arial" w:cs="Arial"/>
          <w:color w:val="333333"/>
          <w:sz w:val="26"/>
          <w:szCs w:val="26"/>
        </w:rPr>
        <w:t>0</w:t>
      </w:r>
      <w:r>
        <w:rPr>
          <w:rFonts w:ascii="Arial" w:hAnsi="Arial" w:cs="Arial"/>
          <w:color w:val="333333"/>
          <w:sz w:val="26"/>
          <w:szCs w:val="26"/>
        </w:rPr>
        <w:t>万元。相比20</w:t>
      </w:r>
      <w:r>
        <w:rPr>
          <w:rFonts w:hint="eastAsia" w:ascii="Arial" w:hAnsi="Arial" w:cs="Arial"/>
          <w:color w:val="333333"/>
          <w:sz w:val="26"/>
          <w:szCs w:val="26"/>
          <w:lang w:val="en-US" w:eastAsia="zh-CN"/>
        </w:rPr>
        <w:t>21</w:t>
      </w:r>
      <w:r>
        <w:rPr>
          <w:rFonts w:ascii="Arial" w:hAnsi="Arial" w:cs="Arial"/>
          <w:color w:val="333333"/>
          <w:sz w:val="26"/>
          <w:szCs w:val="26"/>
        </w:rPr>
        <w:t>年</w:t>
      </w:r>
      <w:r>
        <w:rPr>
          <w:rFonts w:hint="eastAsia" w:ascii="Arial" w:hAnsi="Arial" w:cs="Arial"/>
          <w:color w:val="333333"/>
          <w:sz w:val="26"/>
          <w:szCs w:val="26"/>
        </w:rPr>
        <w:t>减少</w:t>
      </w:r>
      <w:r>
        <w:rPr>
          <w:rFonts w:hint="eastAsia" w:ascii="Arial" w:hAnsi="Arial" w:cs="Arial"/>
          <w:color w:val="333333"/>
          <w:sz w:val="26"/>
          <w:szCs w:val="26"/>
          <w:lang w:val="en-US" w:eastAsia="zh-CN"/>
        </w:rPr>
        <w:t>2.27</w:t>
      </w:r>
      <w:r>
        <w:rPr>
          <w:rFonts w:ascii="Arial" w:hAnsi="Arial" w:cs="Arial"/>
          <w:color w:val="333333"/>
          <w:sz w:val="26"/>
          <w:szCs w:val="26"/>
        </w:rPr>
        <w:t>万元，原因是</w:t>
      </w:r>
      <w:r>
        <w:rPr>
          <w:rFonts w:hint="eastAsia" w:ascii="Arial" w:hAnsi="Arial" w:cs="Arial"/>
          <w:color w:val="333333"/>
          <w:sz w:val="26"/>
          <w:szCs w:val="26"/>
        </w:rPr>
        <w:t>严格执行中央八项规定减少“三公”经费开支</w:t>
      </w:r>
      <w:r>
        <w:rPr>
          <w:rFonts w:ascii="Arial" w:hAnsi="Arial" w:cs="Arial"/>
          <w:color w:val="333333"/>
          <w:sz w:val="26"/>
          <w:szCs w:val="26"/>
        </w:rPr>
        <w:t>。</w:t>
      </w:r>
      <w:bookmarkStart w:id="0" w:name="_GoBack"/>
      <w:bookmarkEnd w:id="0"/>
    </w:p>
    <w:p>
      <w:pPr>
        <w:pStyle w:val="2"/>
        <w:shd w:val="clear" w:color="auto" w:fill="FFFFFF"/>
        <w:spacing w:before="0" w:beforeAutospacing="0" w:after="0" w:afterAutospacing="0"/>
        <w:ind w:firstLine="480"/>
        <w:rPr>
          <w:rFonts w:ascii="Arial" w:hAnsi="Arial" w:cs="Arial"/>
          <w:color w:val="333333"/>
          <w:sz w:val="26"/>
          <w:szCs w:val="26"/>
        </w:rPr>
      </w:pPr>
      <w:r>
        <w:rPr>
          <w:rFonts w:ascii="Arial" w:hAnsi="Arial" w:cs="Arial"/>
          <w:b/>
          <w:bCs/>
          <w:color w:val="333333"/>
          <w:sz w:val="26"/>
          <w:szCs w:val="26"/>
        </w:rPr>
        <w:t>（四）资产管理情况</w:t>
      </w:r>
    </w:p>
    <w:p>
      <w:pPr>
        <w:pStyle w:val="2"/>
        <w:shd w:val="clear" w:color="auto" w:fill="FFFFFF"/>
        <w:spacing w:before="0" w:beforeAutospacing="0" w:after="0" w:afterAutospacing="0"/>
        <w:ind w:firstLine="480"/>
        <w:rPr>
          <w:rFonts w:ascii="Arial" w:hAnsi="Arial" w:cs="Arial"/>
          <w:color w:val="333333"/>
          <w:sz w:val="26"/>
          <w:szCs w:val="26"/>
        </w:rPr>
      </w:pPr>
      <w:r>
        <w:rPr>
          <w:rFonts w:ascii="Arial" w:hAnsi="Arial" w:cs="Arial"/>
          <w:color w:val="333333"/>
          <w:sz w:val="26"/>
          <w:szCs w:val="26"/>
        </w:rPr>
        <w:t>国有资产总额：90万元。其中：专用设备价值68.5万元，房屋价值21.5万元。资产的购置按照财政规定先报财政国有资产管理部门进行资产配置申请，财政相关部门审批后再进行购买。</w:t>
      </w:r>
    </w:p>
    <w:p>
      <w:pPr>
        <w:pStyle w:val="2"/>
        <w:shd w:val="clear" w:color="auto" w:fill="FFFFFF"/>
        <w:spacing w:before="0" w:beforeAutospacing="0" w:after="0" w:afterAutospacing="0"/>
        <w:ind w:firstLine="480"/>
        <w:rPr>
          <w:rFonts w:ascii="Arial" w:hAnsi="Arial" w:cs="Arial"/>
          <w:color w:val="333333"/>
          <w:sz w:val="26"/>
          <w:szCs w:val="26"/>
        </w:rPr>
      </w:pPr>
      <w:r>
        <w:rPr>
          <w:rFonts w:ascii="Arial" w:hAnsi="Arial" w:cs="Arial"/>
          <w:b/>
          <w:bCs/>
          <w:color w:val="333333"/>
          <w:sz w:val="26"/>
          <w:szCs w:val="26"/>
        </w:rPr>
        <w:t>（五）部门整体支出绩效情况</w:t>
      </w:r>
      <w:r>
        <w:rPr>
          <w:rFonts w:ascii="Arial" w:hAnsi="Arial" w:cs="Arial"/>
          <w:color w:val="333333"/>
          <w:sz w:val="26"/>
          <w:szCs w:val="26"/>
        </w:rPr>
        <w:t>：</w:t>
      </w:r>
    </w:p>
    <w:p>
      <w:pPr>
        <w:pStyle w:val="2"/>
        <w:shd w:val="clear" w:color="auto" w:fill="FFFFFF"/>
        <w:spacing w:before="0" w:beforeAutospacing="0" w:after="0" w:afterAutospacing="0"/>
        <w:ind w:firstLine="480"/>
        <w:rPr>
          <w:rFonts w:ascii="Arial" w:hAnsi="Arial" w:cs="Arial"/>
          <w:color w:val="333333"/>
          <w:sz w:val="26"/>
          <w:szCs w:val="26"/>
        </w:rPr>
      </w:pPr>
      <w:r>
        <w:rPr>
          <w:rFonts w:ascii="Arial" w:hAnsi="Arial" w:cs="Arial"/>
          <w:color w:val="333333"/>
          <w:sz w:val="26"/>
          <w:szCs w:val="26"/>
        </w:rPr>
        <w:t>1、规范公共场所经营秩序，卫生许可办证率达98%以上，日常监管率达95%以上。今年共接收公共场所卫生行政许可申请152份，全部在工作日内办结，村卫生室医疗机构执业许可证校验115个。2、大力整顿医疗市场，严厉打击非法行医行为，规范我区医疗市场秩序，日常监管率达95%以上，违法行为100%立案查处。今年共检查各类医疗卫生单位112家，发现无证行医的4家，均进行了立案依法查处，并对无证行医行为予以取缔，对存在医疗安全隐患的单位下发卫生监督意见书78份。3、开展了公共场所传染病防治卫生监督专项工作，成立了专门工作机构，制定了工作方案。本次专项检查出动监督车辆52台次，出动卫生监督员262人次，检查医疗机构76家，疾病预防控制机构1家，学校10所，托幼机构9所，公共场所440户次，针对监督检查中存在的问题，下达了卫生监督意见书65份，要求54家管理对象限期整改，当场行政处罚2家。4、扎实开展打击“两非”行动，联合公安、纪检、市场和质量监督管理等部门定期开展打击“两非”行动。今年，我区共排查“两非”可疑线索20例，“两非”典型案件立案2起并依法查处到位，处理涉案对象3人次，“两非”案件查处工作取得新突破，在全区上下特别在医疗单位产生了强烈影响，有效遏制了出生人口性别比攀升的势头。5、保障区县人民生活饮用水饮用安全，强化了突发公共卫生事件应急机制，传染病防治、生活饮用水、放射卫生、学校卫生监督率达98%以上。我单位能专款专项使用资金，使年初的预算能合理规范的用于专项业务上，达到了年初预算时的效益指标。</w:t>
      </w:r>
    </w:p>
    <w:p>
      <w:pPr>
        <w:pStyle w:val="2"/>
        <w:shd w:val="clear" w:color="auto" w:fill="FFFFFF"/>
        <w:spacing w:before="0" w:beforeAutospacing="0" w:after="0" w:afterAutospacing="0"/>
        <w:ind w:firstLine="480"/>
        <w:rPr>
          <w:rFonts w:ascii="Arial" w:hAnsi="Arial" w:cs="Arial"/>
          <w:color w:val="333333"/>
          <w:sz w:val="26"/>
          <w:szCs w:val="26"/>
        </w:rPr>
      </w:pPr>
      <w:r>
        <w:rPr>
          <w:rFonts w:ascii="Arial" w:hAnsi="Arial" w:cs="Arial"/>
          <w:color w:val="333333"/>
          <w:sz w:val="26"/>
          <w:szCs w:val="26"/>
        </w:rPr>
        <w:t>二、存在的主要问题</w:t>
      </w:r>
    </w:p>
    <w:p>
      <w:pPr>
        <w:pStyle w:val="2"/>
        <w:shd w:val="clear" w:color="auto" w:fill="FFFFFF"/>
        <w:spacing w:before="0" w:beforeAutospacing="0" w:after="0" w:afterAutospacing="0"/>
        <w:ind w:firstLine="480"/>
        <w:rPr>
          <w:rFonts w:ascii="Arial" w:hAnsi="Arial" w:cs="Arial"/>
          <w:color w:val="333333"/>
          <w:sz w:val="26"/>
          <w:szCs w:val="26"/>
        </w:rPr>
      </w:pPr>
      <w:r>
        <w:rPr>
          <w:rFonts w:ascii="Arial" w:hAnsi="Arial" w:cs="Arial"/>
          <w:color w:val="333333"/>
          <w:sz w:val="26"/>
          <w:szCs w:val="26"/>
        </w:rPr>
        <w:t>财务管理方面，会计核算还不够细致，未能详细分类核算，绩效评价基础数据不够精准。</w:t>
      </w:r>
    </w:p>
    <w:p>
      <w:pPr>
        <w:pStyle w:val="2"/>
        <w:shd w:val="clear" w:color="auto" w:fill="FFFFFF"/>
        <w:spacing w:before="0" w:beforeAutospacing="0" w:after="0" w:afterAutospacing="0"/>
        <w:ind w:firstLine="480"/>
        <w:rPr>
          <w:rFonts w:ascii="Arial" w:hAnsi="Arial" w:cs="Arial"/>
          <w:color w:val="333333"/>
          <w:sz w:val="26"/>
          <w:szCs w:val="26"/>
        </w:rPr>
      </w:pPr>
      <w:r>
        <w:rPr>
          <w:rFonts w:ascii="Arial" w:hAnsi="Arial" w:cs="Arial"/>
          <w:color w:val="333333"/>
          <w:sz w:val="26"/>
          <w:szCs w:val="26"/>
        </w:rPr>
        <w:t>三、改进措施和有关建议</w:t>
      </w:r>
    </w:p>
    <w:p>
      <w:pPr>
        <w:pStyle w:val="2"/>
        <w:shd w:val="clear" w:color="auto" w:fill="FFFFFF"/>
        <w:spacing w:before="0" w:beforeAutospacing="0" w:after="0" w:afterAutospacing="0"/>
        <w:ind w:firstLine="480"/>
        <w:rPr>
          <w:rFonts w:ascii="Arial" w:hAnsi="Arial" w:cs="Arial"/>
          <w:color w:val="333333"/>
          <w:sz w:val="26"/>
          <w:szCs w:val="26"/>
        </w:rPr>
      </w:pPr>
      <w:r>
        <w:rPr>
          <w:rFonts w:ascii="Arial" w:hAnsi="Arial" w:cs="Arial"/>
          <w:color w:val="333333"/>
          <w:sz w:val="26"/>
          <w:szCs w:val="26"/>
        </w:rPr>
        <w:t>1、学习如何合理制定绩效目标及考核体系，充分发挥绩效工作作用。</w:t>
      </w:r>
    </w:p>
    <w:p>
      <w:r>
        <w:rPr>
          <w:rFonts w:ascii="Arial" w:hAnsi="Arial" w:cs="Arial"/>
          <w:color w:val="333333"/>
          <w:sz w:val="26"/>
          <w:szCs w:val="26"/>
        </w:rPr>
        <w:t>2、财务上，会计核算要更加详细，为本单位各项工作的开展、总结、评估提供有效数据资料支撑，为各项业务工作更好的开展提供帮助。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NmNmZDQxOTljMzU2NTRlMWYwZmU3NGJjODY2NmEifQ=="/>
  </w:docVars>
  <w:rsids>
    <w:rsidRoot w:val="00000000"/>
    <w:rsid w:val="045E4EEA"/>
    <w:rsid w:val="092D211B"/>
    <w:rsid w:val="140E6E28"/>
    <w:rsid w:val="146A5EE1"/>
    <w:rsid w:val="35896C24"/>
    <w:rsid w:val="3BC00DA9"/>
    <w:rsid w:val="41F840C9"/>
    <w:rsid w:val="4BC0032A"/>
    <w:rsid w:val="6AF16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1338</Words>
  <Characters>1430</Characters>
  <Lines>0</Lines>
  <Paragraphs>0</Paragraphs>
  <TotalTime>14</TotalTime>
  <ScaleCrop>false</ScaleCrop>
  <LinksUpToDate>false</LinksUpToDate>
  <CharactersWithSpaces>1430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2022-06-28T02:35:00Z</dcterms:created>
  <dc:creator>Administrator</dc:creator>
  <cp:lastModifiedBy>Administrator</cp:lastModifiedBy>
  <dcterms:modified xsi:type="dcterms:W3CDTF">2023-09-19T09:32:33Z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FAFC05555CD04BDD9154F257D9204CEE</vt:lpwstr>
  </property>
</Properties>
</file>