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 w:cs="黑体"/>
          <w:color w:val="000000"/>
          <w:kern w:val="0"/>
          <w:sz w:val="70"/>
          <w:szCs w:val="70"/>
        </w:rPr>
      </w:pPr>
    </w:p>
    <w:p>
      <w:pPr>
        <w:ind w:firstLine="880" w:firstLineChars="200"/>
        <w:jc w:val="center"/>
        <w:rPr>
          <w:rFonts w:cs="黑体" w:asciiTheme="minorEastAsia" w:hAnsiTheme="minorEastAsia"/>
          <w:b/>
          <w:color w:val="000000"/>
          <w:kern w:val="0"/>
          <w:sz w:val="44"/>
          <w:szCs w:val="44"/>
        </w:rPr>
      </w:pPr>
      <w:r>
        <w:rPr>
          <w:rFonts w:hint="eastAsia" w:cs="黑体" w:asciiTheme="minorEastAsia" w:hAnsiTheme="minorEastAsia"/>
          <w:b/>
          <w:color w:val="000000"/>
          <w:kern w:val="0"/>
          <w:sz w:val="44"/>
          <w:szCs w:val="44"/>
          <w:lang w:eastAsia="zh-CN"/>
        </w:rPr>
        <w:t>中共邵阳市双清区委办公室</w:t>
      </w:r>
      <w:r>
        <w:rPr>
          <w:rFonts w:hint="eastAsia" w:cs="黑体" w:asciiTheme="minorEastAsia" w:hAnsiTheme="minorEastAsia"/>
          <w:b/>
          <w:color w:val="000000"/>
          <w:kern w:val="0"/>
          <w:sz w:val="44"/>
          <w:szCs w:val="44"/>
        </w:rPr>
        <w:t>202</w:t>
      </w:r>
      <w:r>
        <w:rPr>
          <w:rFonts w:hint="eastAsia" w:cs="黑体" w:asciiTheme="minorEastAsia" w:hAnsiTheme="minorEastAsia"/>
          <w:b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hint="eastAsia" w:cs="黑体" w:asciiTheme="minorEastAsia" w:hAnsiTheme="minorEastAsia"/>
          <w:b/>
          <w:color w:val="000000"/>
          <w:kern w:val="0"/>
          <w:sz w:val="44"/>
          <w:szCs w:val="44"/>
        </w:rPr>
        <w:t>年度部门整体支出绩效评价报告</w:t>
      </w:r>
    </w:p>
    <w:p>
      <w:pPr>
        <w:pStyle w:val="2"/>
        <w:widowControl/>
        <w:shd w:val="clear" w:color="auto" w:fill="FFFFFF"/>
        <w:spacing w:beforeAutospacing="0" w:afterAutospacing="0" w:line="450" w:lineRule="atLeast"/>
        <w:ind w:firstLine="300"/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450" w:lineRule="atLeast"/>
        <w:ind w:firstLine="750" w:firstLineChars="242"/>
        <w:rPr>
          <w:rFonts w:ascii="微软雅黑" w:hAnsi="微软雅黑" w:eastAsia="微软雅黑" w:cs="Times New Roman"/>
          <w:color w:val="333333"/>
        </w:rPr>
      </w:pPr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（一）整体支出绩效目标</w:t>
      </w:r>
    </w:p>
    <w:p>
      <w:pPr>
        <w:pStyle w:val="2"/>
        <w:widowControl/>
        <w:shd w:val="clear" w:color="auto" w:fill="FFFFFF"/>
        <w:spacing w:beforeAutospacing="0" w:afterAutospacing="0" w:line="450" w:lineRule="atLeast"/>
        <w:ind w:firstLine="620" w:firstLineChars="200"/>
        <w:rPr>
          <w:rFonts w:ascii="微软雅黑" w:hAnsi="微软雅黑" w:eastAsia="微软雅黑" w:cs="Times New Roman"/>
          <w:color w:val="333333"/>
        </w:rPr>
      </w:pPr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预决算公开：</w:t>
      </w:r>
      <w:r>
        <w:rPr>
          <w:rFonts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20</w:t>
      </w:r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  <w:lang w:val="en-US" w:eastAsia="zh-CN"/>
        </w:rPr>
        <w:t>22</w:t>
      </w:r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年，按照上级的要求，我单位在政府网站上进行了预决算公开。</w:t>
      </w:r>
    </w:p>
    <w:p>
      <w:pPr>
        <w:pStyle w:val="2"/>
        <w:widowControl/>
        <w:shd w:val="clear" w:color="auto" w:fill="FFFFFF"/>
        <w:spacing w:beforeAutospacing="0" w:afterAutospacing="0" w:line="450" w:lineRule="atLeast"/>
        <w:ind w:firstLine="620" w:firstLineChars="200"/>
        <w:rPr>
          <w:rFonts w:ascii="微软雅黑" w:hAnsi="微软雅黑" w:eastAsia="微软雅黑" w:cs="Times New Roman"/>
          <w:color w:val="333333"/>
        </w:rPr>
      </w:pPr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资产管理：我们进一步加强资产的管理，明确了具体责任人，完善了固定资产档案，严格报批、审核等手续，做好资产登记工作，单位无任何资产流失现象。</w:t>
      </w:r>
      <w:bookmarkStart w:id="0" w:name="_GoBack"/>
      <w:bookmarkEnd w:id="0"/>
    </w:p>
    <w:p>
      <w:pPr>
        <w:pStyle w:val="2"/>
        <w:widowControl/>
        <w:shd w:val="clear" w:color="auto" w:fill="FFFFFF"/>
        <w:spacing w:beforeAutospacing="0" w:afterAutospacing="0" w:line="450" w:lineRule="atLeast"/>
        <w:ind w:firstLine="750"/>
        <w:rPr>
          <w:rFonts w:ascii="微软雅黑" w:hAnsi="微软雅黑" w:eastAsia="微软雅黑" w:cs="Times New Roman"/>
          <w:color w:val="333333"/>
        </w:rPr>
      </w:pPr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（二）部门整体支出情况分析</w:t>
      </w:r>
    </w:p>
    <w:p>
      <w:pPr>
        <w:pStyle w:val="2"/>
        <w:widowControl/>
        <w:shd w:val="clear" w:color="auto" w:fill="FFFFFF"/>
        <w:spacing w:beforeAutospacing="0" w:afterAutospacing="0" w:line="450" w:lineRule="atLeast"/>
        <w:ind w:firstLine="750"/>
        <w:rPr>
          <w:rFonts w:ascii="微软雅黑" w:hAnsi="微软雅黑" w:eastAsia="微软雅黑" w:cs="Times New Roman"/>
          <w:color w:val="333333"/>
        </w:rPr>
      </w:pPr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从整体情况来看，我单位严格按照年初预算进行部门整体支出。在支出过程中，能严格遵守各项规章制度。</w:t>
      </w:r>
    </w:p>
    <w:p>
      <w:pPr>
        <w:ind w:firstLine="640" w:firstLineChars="200"/>
        <w:jc w:val="left"/>
        <w:rPr>
          <w:rFonts w:ascii="宋体" w:cs="Times New Roman"/>
          <w:color w:val="000000"/>
          <w:kern w:val="0"/>
          <w:sz w:val="32"/>
          <w:szCs w:val="32"/>
        </w:rPr>
      </w:pPr>
    </w:p>
    <w:p>
      <w:pPr>
        <w:ind w:firstLine="420" w:firstLineChars="200"/>
        <w:jc w:val="left"/>
        <w:rPr>
          <w:rFonts w:cs="Times New Roman"/>
          <w:kern w:val="0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2YmM0Yzk2MWFhYTA0Y2RmYzg3YjJhYzJkYTc0NDIifQ=="/>
  </w:docVars>
  <w:rsids>
    <w:rsidRoot w:val="3983133D"/>
    <w:rsid w:val="262D6B60"/>
    <w:rsid w:val="3983133D"/>
    <w:rsid w:val="47DB4188"/>
    <w:rsid w:val="63024242"/>
    <w:rsid w:val="64875E67"/>
    <w:rsid w:val="7E71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205</Characters>
  <Lines>0</Lines>
  <Paragraphs>0</Paragraphs>
  <TotalTime>3</TotalTime>
  <ScaleCrop>false</ScaleCrop>
  <LinksUpToDate>false</LinksUpToDate>
  <CharactersWithSpaces>205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2022-07-04T12:44:00Z</dcterms:created>
  <dc:creator>不瘦20斤不改名</dc:creator>
  <cp:lastModifiedBy>kylin</cp:lastModifiedBy>
  <dcterms:modified xsi:type="dcterms:W3CDTF">2023-09-19T17:38:29Z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56D44DE5D7EB433EBDA9FD6DA707EC98</vt:lpwstr>
  </property>
</Properties>
</file>