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2020年度部门整体支出绩效评价报告</w:t>
      </w:r>
    </w:p>
    <w:p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u w:val="none"/>
        </w:rPr>
        <w:t>（一）整体支出绩效目标</w:t>
      </w:r>
    </w:p>
    <w:p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u w:val="none"/>
        </w:rPr>
        <w:t>预决算公开：20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u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u w:val="none"/>
        </w:rPr>
        <w:t>年，按照上级的要求，我单位在政府网站上进行了预决算公开。</w:t>
      </w:r>
    </w:p>
    <w:p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u w:val="none"/>
        </w:rPr>
        <w:t>资产管理：我们进一步加强资产的管理，明确了具体责任人，完善了固定资产档案，严格报批、审核等手续，做好资产登记工作，单位无任何资产流失现象。</w:t>
      </w:r>
    </w:p>
    <w:p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公经费控制情况：我单位贯彻落实上级有关精神，严格控制“三公经费”支出，取得了良好效果。具体情况如下：2020年“三公”经费0.04万元，其中公务接待费为0.04万元，无公务用车运行维护费和因公出国（境）费用。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u w:val="none"/>
        </w:rPr>
        <w:t>（二）部门整体支出情况分析</w:t>
      </w:r>
    </w:p>
    <w:p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u w:val="none"/>
        </w:rPr>
        <w:t>从整体情况来看，我单位严格按照年初预算进行部门整体支出。在支出过程中，能严格遵守各项规章制度。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zliZDRkM2ViNDU1OTIzOTM2NjAzOGM4YjU3ODIifQ=="/>
  </w:docVars>
  <w:rsids>
    <w:rsidRoot w:val="00000000"/>
    <w:rsid w:val="19647B69"/>
    <w:rsid w:val="4E400B7E"/>
    <w:rsid w:val="790A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196</Characters>
  <Lines>0</Lines>
  <Paragraphs>0</Paragraphs>
  <TotalTime>2</TotalTime>
  <ScaleCrop>false</ScaleCrop>
  <LinksUpToDate>false</LinksUpToDate>
  <CharactersWithSpaces>196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夏  末</cp:lastModifiedBy>
  <dcterms:modified xsi:type="dcterms:W3CDTF">2022-06-28T08:34:35Z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06193C68EE6A42288AE6C7D12CADB4A8</vt:lpwstr>
  </property>
</Properties>
</file>