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1" w:afterAutospacing="0"/>
        <w:jc w:val="center"/>
      </w:pPr>
      <w:r>
        <w:rPr>
          <w:rFonts w:ascii="宋体" w:hAnsi="宋体" w:eastAsia="宋体" w:cs="宋体"/>
          <w:color w:val="000000"/>
          <w:sz w:val="44"/>
          <w:szCs w:val="44"/>
        </w:rPr>
        <w:t>2022年度邵阳市双清区农业农村局部门决算</w:t>
      </w:r>
      <w:r>
        <w:rPr>
          <w:color w:val="000000"/>
        </w:rPr>
        <w:t xml:space="preserve"> </w:t>
      </w:r>
    </w:p>
    <w:p>
      <w:pPr>
        <w:spacing w:before="0" w:beforeAutospacing="0" w:after="1" w:afterAutospacing="0"/>
        <w:jc w:val="center"/>
        <w:rPr>
          <w:sz w:val="21"/>
          <w:szCs w:val="21"/>
        </w:rPr>
      </w:pPr>
      <w:r>
        <w:rPr>
          <w:color w:val="000000"/>
          <w:sz w:val="32"/>
          <w:szCs w:val="32"/>
        </w:rPr>
        <w:t> </w:t>
      </w:r>
      <w:r>
        <w:rPr>
          <w:color w:val="000000"/>
          <w:sz w:val="21"/>
          <w:szCs w:val="21"/>
        </w:rPr>
        <w:t xml:space="preserve"> </w:t>
      </w:r>
    </w:p>
    <w:p>
      <w:pPr>
        <w:spacing w:before="0" w:beforeAutospacing="0" w:after="1"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1" w:afterAutospacing="0"/>
        <w:jc w:val="center"/>
        <w:rPr>
          <w:sz w:val="21"/>
          <w:szCs w:val="21"/>
        </w:rPr>
      </w:pP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第一部分 邵阳市双清区农业农村局概况</w:t>
      </w:r>
      <w:r>
        <w:rPr>
          <w:color w:val="000000"/>
          <w:sz w:val="27"/>
          <w:szCs w:val="27"/>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第二部分 2022年度部门决算表</w:t>
      </w:r>
      <w:r>
        <w:rPr>
          <w:color w:val="000000"/>
          <w:sz w:val="27"/>
          <w:szCs w:val="27"/>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七、政府性基金预算财政拨款收入支出决算表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八、国有资本经营预算财政拨款支出决算表</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九、一般公共预算财政拨款“三公”经费支出决算表</w:t>
      </w:r>
      <w:r>
        <w:rPr>
          <w:color w:val="000000"/>
        </w:rPr>
        <w:t xml:space="preserve"> </w:t>
      </w:r>
    </w:p>
    <w:p>
      <w:pPr>
        <w:pStyle w:val="13"/>
        <w:spacing w:before="0" w:beforeAutospacing="0" w:after="1" w:afterAutospacing="0"/>
        <w:ind w:left="0" w:firstLine="700"/>
      </w:pPr>
      <w:r>
        <w:rPr>
          <w:rFonts w:hint="eastAsia" w:ascii="宋体" w:hAnsi="宋体" w:eastAsia="宋体" w:cs="宋体"/>
          <w:b/>
          <w:bCs/>
          <w:color w:val="000000"/>
          <w:sz w:val="32"/>
          <w:szCs w:val="32"/>
        </w:rPr>
        <w:t>第三部分 2022年度部门决算情况说明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九、关于机关运行经费支出说明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十一、关于政府采购支出说明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十二、关于国有资产占用情况说明</w:t>
      </w:r>
      <w:r>
        <w:rPr>
          <w:color w:val="000000"/>
        </w:rPr>
        <w:t xml:space="preserve"> </w:t>
      </w:r>
    </w:p>
    <w:p>
      <w:pPr>
        <w:pStyle w:val="13"/>
        <w:spacing w:before="0" w:beforeAutospacing="0" w:after="1" w:afterAutospacing="0"/>
        <w:ind w:left="0" w:firstLine="700"/>
      </w:pPr>
      <w:r>
        <w:rPr>
          <w:rFonts w:hint="eastAsia" w:ascii="宋体" w:hAnsi="宋体" w:eastAsia="宋体" w:cs="宋体"/>
          <w:color w:val="000000"/>
          <w:sz w:val="28"/>
          <w:szCs w:val="28"/>
        </w:rPr>
        <w:t>十三、关于2022年度预算绩效情况的说明</w:t>
      </w:r>
      <w:r>
        <w:rPr>
          <w:color w:val="000000"/>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1" w:afterAutospacing="0" w:line="600" w:lineRule="atLeast"/>
        <w:ind w:left="0" w:right="0"/>
        <w:jc w:val="center"/>
        <w:rPr>
          <w:sz w:val="21"/>
          <w:szCs w:val="21"/>
        </w:rPr>
      </w:pPr>
      <w:r>
        <w:rPr>
          <w:rFonts w:hint="eastAsia" w:ascii="宋体" w:hAnsi="宋体" w:eastAsia="宋体" w:cs="宋体"/>
          <w:b/>
          <w:bCs/>
          <w:color w:val="000000"/>
          <w:sz w:val="36"/>
          <w:szCs w:val="36"/>
        </w:rPr>
        <w:t>第一部分 邵阳市双清区农业农村局概况</w:t>
      </w:r>
      <w:r>
        <w:rPr>
          <w:b/>
          <w:bCs/>
          <w:color w:val="000000"/>
          <w:sz w:val="21"/>
          <w:szCs w:val="21"/>
        </w:rPr>
        <w:t xml:space="preserve"> </w:t>
      </w:r>
    </w:p>
    <w:p>
      <w:pPr>
        <w:pStyle w:val="9"/>
        <w:keepNext w:val="0"/>
        <w:keepLines w:val="0"/>
        <w:widowControl/>
        <w:suppressLineNumbers w:val="0"/>
        <w:spacing w:before="0" w:beforeAutospacing="0" w:after="1" w:afterAutospacing="0"/>
      </w:pPr>
    </w:p>
    <w:p>
      <w:pPr>
        <w:pStyle w:val="9"/>
        <w:keepNext w:val="0"/>
        <w:keepLines w:val="0"/>
        <w:widowControl/>
        <w:suppressLineNumbers w:val="0"/>
        <w:spacing w:before="0" w:beforeAutospacing="0" w:after="1" w:afterAutospacing="0"/>
        <w:ind w:left="0" w:right="0" w:firstLine="0"/>
      </w:pPr>
      <w:r>
        <w:rPr>
          <w:rFonts w:hint="eastAsia" w:ascii="黑体" w:hAnsi="宋体" w:eastAsia="黑体" w:cs="黑体"/>
          <w:color w:val="000000"/>
          <w:sz w:val="32"/>
          <w:szCs w:val="32"/>
        </w:rPr>
        <w:t> </w:t>
      </w:r>
      <w:r>
        <w:rPr>
          <w:color w:val="000000"/>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（一）统筹研究和组织实施“三农”和扶贫开发工作的发展中长期规划、重大政策。</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（二）统筹推动发展农村社会事业、农村公共服务、农村文化、农村基础设施和乡村治理。</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（三）研究提出深化农村经济体制改革和巩固完善农村基本经营制度的政策建议。</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（四）指导乡村特色产业、农产品加工业、休闲农业和乡镇企业发展工作。</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（五）负责种植业、畜牧业、渔业、农垦、农业机械化等农业各产业的监督管理。</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（六）负责农产品质量安全监督管理。</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（七）组织农业资源区划工作。</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（八）负责有关农业生产资料和农业投入品的监督管理。</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（九）负责农业防灾减灾、农作物重大病虫害防治工作。</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（十）负责农业投资管理。</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（十一）推动农业科技体制改革和农业科技创新体系建设。</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（十二）指导农业农村人才工作。</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（十三）组织参与农业对外合作工作。</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（十四）指导协调全区社会扶贫开发工作。</w:t>
      </w:r>
      <w:r>
        <w:rPr>
          <w:color w:val="000000"/>
          <w:sz w:val="32"/>
          <w:szCs w:val="32"/>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（十五）完成区委、区政府和区委农村工作领导小组交办的其他任务。</w:t>
      </w:r>
      <w:r>
        <w:rPr>
          <w:color w:val="000000"/>
          <w:sz w:val="32"/>
          <w:szCs w:val="32"/>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shd w:val="clear" w:fill="FFFFFF"/>
        </w:rPr>
        <w:t>邵阳市双清区农业农村局</w:t>
      </w:r>
      <w:r>
        <w:rPr>
          <w:rFonts w:hint="eastAsia" w:ascii="宋体" w:hAnsi="宋体" w:eastAsia="宋体" w:cs="宋体"/>
          <w:color w:val="000000"/>
          <w:sz w:val="32"/>
          <w:szCs w:val="32"/>
        </w:rPr>
        <w:t>内设机构包括：内设机构：办公室、法规股、计划财务股、扶贫发展股、乡村产业规划发展股、农田建设与农垦股、农村事业促进股、农业技术指导和综合管理股、畜牧兽医渔业管理股、农业机械化管理股。编办核定编制数是20人，其中行政编制7人，政法编制0人，事业编制11人，工勤编制2人，实有人数为55人，其中在职人员34人，离休人员0人，退休人员21人。</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邵阳市双清区农业农村局无下属单位，因此，邵阳市双清区农业农村局2022年单位决算即邵阳市双清区农业农村局本级。</w:t>
      </w:r>
      <w:r>
        <w:rPr>
          <w:color w:val="000000"/>
          <w:sz w:val="27"/>
          <w:szCs w:val="27"/>
        </w:rPr>
        <w:t xml:space="preserve"> </w:t>
      </w:r>
    </w:p>
    <w:p>
      <w:pPr>
        <w:rPr>
          <w:color w:val="000000"/>
        </w:rPr>
        <w:sectPr>
          <w:pgSz w:w="11906" w:h="16838" w:orient="landscape"/>
          <w:pgMar w:top="1440" w:right="1080" w:bottom="1440" w:left="1080" w:header="851" w:footer="992" w:gutter="0"/>
          <w:paperSrc/>
          <w:cols w:space="0" w:num="1"/>
          <w:docGrid w:type="lines" w:linePitch="160" w:charSpace="0"/>
        </w:sectPr>
      </w:pPr>
    </w:p>
    <w:p>
      <w:pPr>
        <w:spacing w:before="0" w:beforeAutospacing="0" w:after="1" w:afterAutospacing="0"/>
        <w:ind w:left="0" w:firstLine="721"/>
        <w:jc w:val="center"/>
        <w:rPr>
          <w:sz w:val="21"/>
          <w:szCs w:val="21"/>
        </w:rPr>
      </w:pPr>
    </w:p>
    <w:p>
      <w:pPr>
        <w:spacing w:before="0" w:beforeAutospacing="0" w:after="1" w:afterAutospacing="0"/>
        <w:ind w:left="0" w:firstLine="721"/>
        <w:jc w:val="center"/>
        <w:rPr>
          <w:sz w:val="21"/>
          <w:szCs w:val="21"/>
        </w:rPr>
      </w:pPr>
      <w:r>
        <w:rPr>
          <w:rFonts w:hint="eastAsia" w:ascii="宋体" w:hAnsi="宋体" w:eastAsia="宋体" w:cs="宋体"/>
          <w:b/>
          <w:bCs/>
          <w:color w:val="000000"/>
          <w:sz w:val="36"/>
          <w:szCs w:val="36"/>
        </w:rPr>
        <w:t>第二部分 2022年度部门决算表</w:t>
      </w:r>
      <w:r>
        <w:rPr>
          <w:color w:val="000000"/>
          <w:sz w:val="21"/>
          <w:szCs w:val="21"/>
        </w:rPr>
        <w:t xml:space="preserve"> </w:t>
      </w:r>
    </w:p>
    <w:p>
      <w:pPr>
        <w:pStyle w:val="9"/>
        <w:keepNext w:val="0"/>
        <w:keepLines w:val="0"/>
        <w:widowControl/>
        <w:suppressLineNumbers w:val="0"/>
        <w:spacing w:before="0" w:beforeAutospacing="0" w:after="1" w:afterAutospacing="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shd w:val="clear"/>
            <w:vAlign w:val="center"/>
          </w:tcPr>
          <w:p>
            <w:pPr>
              <w:pStyle w:val="9"/>
              <w:keepNext w:val="0"/>
              <w:keepLines w:val="0"/>
              <w:widowControl/>
              <w:suppressLineNumbers w:val="0"/>
            </w:pPr>
          </w:p>
        </w:tc>
        <w:tc>
          <w:tcPr>
            <w:tcW w:w="202" w:type="pct"/>
            <w:shd w:val="clear"/>
            <w:vAlign w:val="center"/>
          </w:tcPr>
          <w:p>
            <w:pPr>
              <w:pStyle w:val="9"/>
              <w:keepNext w:val="0"/>
              <w:keepLines w:val="0"/>
              <w:widowControl/>
              <w:suppressLineNumbers w:val="0"/>
            </w:pPr>
          </w:p>
        </w:tc>
        <w:tc>
          <w:tcPr>
            <w:tcW w:w="799" w:type="pct"/>
            <w:shd w:val="clear"/>
            <w:vAlign w:val="center"/>
          </w:tcPr>
          <w:p>
            <w:pPr>
              <w:pStyle w:val="9"/>
              <w:keepNext w:val="0"/>
              <w:keepLines w:val="0"/>
              <w:widowControl/>
              <w:suppressLineNumbers w:val="0"/>
            </w:pPr>
          </w:p>
        </w:tc>
        <w:tc>
          <w:tcPr>
            <w:tcW w:w="1497" w:type="pct"/>
            <w:shd w:val="clear"/>
            <w:vAlign w:val="center"/>
          </w:tcPr>
          <w:p>
            <w:pPr>
              <w:pStyle w:val="9"/>
              <w:keepNext w:val="0"/>
              <w:keepLines w:val="0"/>
              <w:widowControl/>
              <w:suppressLineNumbers w:val="0"/>
            </w:pP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部门：邵阳市双清区农业农村局 </w:t>
            </w: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2,490.68 </w:t>
            </w: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225.50 </w:t>
            </w: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2,362.10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2,716.17 </w:t>
            </w: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2,716.17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2,716.17 </w:t>
            </w:r>
          </w:p>
        </w:tc>
        <w:tc>
          <w:tcPr>
            <w:tcW w:w="149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2,716.17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注：1.本表反映部门本年度的总收支和年末结转结余情况。2.本套报表金额单位转换时可能存在尾数误差。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6"/>
        <w:gridCol w:w="356"/>
        <w:gridCol w:w="356"/>
        <w:gridCol w:w="3143"/>
        <w:gridCol w:w="2139"/>
        <w:gridCol w:w="1569"/>
        <w:gridCol w:w="1569"/>
        <w:gridCol w:w="1569"/>
        <w:gridCol w:w="1581"/>
        <w:gridCol w:w="182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1" w:type="pct"/>
            <w:shd w:val="clear"/>
            <w:vAlign w:val="center"/>
          </w:tcPr>
          <w:p>
            <w:pPr>
              <w:pStyle w:val="9"/>
              <w:keepNext w:val="0"/>
              <w:keepLines w:val="0"/>
              <w:widowControl/>
              <w:suppressLineNumbers w:val="0"/>
            </w:pPr>
          </w:p>
        </w:tc>
        <w:tc>
          <w:tcPr>
            <w:tcW w:w="111" w:type="pct"/>
            <w:shd w:val="clear"/>
            <w:vAlign w:val="center"/>
          </w:tcPr>
          <w:p>
            <w:pPr>
              <w:pStyle w:val="9"/>
              <w:keepNext w:val="0"/>
              <w:keepLines w:val="0"/>
              <w:widowControl/>
              <w:suppressLineNumbers w:val="0"/>
            </w:pPr>
          </w:p>
        </w:tc>
        <w:tc>
          <w:tcPr>
            <w:tcW w:w="111" w:type="pct"/>
            <w:shd w:val="clear"/>
            <w:vAlign w:val="center"/>
          </w:tcPr>
          <w:p>
            <w:pPr>
              <w:pStyle w:val="9"/>
              <w:keepNext w:val="0"/>
              <w:keepLines w:val="0"/>
              <w:widowControl/>
              <w:suppressLineNumbers w:val="0"/>
            </w:pPr>
          </w:p>
        </w:tc>
        <w:tc>
          <w:tcPr>
            <w:tcW w:w="979" w:type="pct"/>
            <w:shd w:val="clear"/>
            <w:vAlign w:val="center"/>
          </w:tcPr>
          <w:p>
            <w:pPr>
              <w:pStyle w:val="9"/>
              <w:keepNext w:val="0"/>
              <w:keepLines w:val="0"/>
              <w:widowControl/>
              <w:suppressLineNumbers w:val="0"/>
            </w:pPr>
          </w:p>
        </w:tc>
        <w:tc>
          <w:tcPr>
            <w:tcW w:w="667"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1059"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4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部门：邵阳市双清区农业农村局 </w:t>
            </w:r>
          </w:p>
        </w:tc>
        <w:tc>
          <w:tcPr>
            <w:tcW w:w="1059"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3" w:type="pct"/>
            <w:gridSpan w:val="4"/>
            <w:tcBorders>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3" w:type="pct"/>
            <w:gridSpan w:val="4"/>
            <w:tcBorders>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2,716.17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55.08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55.08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39.02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39.02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财政对其他社会保险基金的补助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财政对失业保险基金的补助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0.35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0.35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2082702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财政对工伤保险基金的补助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2.34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2.34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2101103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2101199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其他行政事业单位医疗支出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21103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污染防治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2110302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水体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2,362.10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2,362.10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1,518.73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1,518.73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397.32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397.32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2130102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29.70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29.70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15.46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15.46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防灾救灾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26.37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26.37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农业结构调整补贴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27.51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27.51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2130124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农村合作经济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2130126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农村社会事业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233.20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233.20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2130153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农田建设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411.69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411.69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2130199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其他农业农村支出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327.49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327.49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78.58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78.58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2130207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森林资源管理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森林生态效益补偿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0.66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0.66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2130234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林业草原防灾减灾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2130299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其他林业和草原支出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61.45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61.45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巩固脱贫衔接乡村振兴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764.79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764.79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2130504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农村基础设施建设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167.05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167.05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其他巩固脱贫衔接乡村振兴支出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597.74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597.74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97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667"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105" w:type="pct"/>
            <w:shd w:val="clear"/>
            <w:vAlign w:val="center"/>
          </w:tcPr>
          <w:p>
            <w:pPr>
              <w:pStyle w:val="9"/>
              <w:keepNext w:val="0"/>
              <w:keepLines w:val="0"/>
              <w:widowControl/>
              <w:suppressLineNumbers w:val="0"/>
            </w:pPr>
          </w:p>
        </w:tc>
        <w:tc>
          <w:tcPr>
            <w:tcW w:w="753"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部门：邵阳市双清区农业农村局 </w:t>
            </w: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2,716.17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738.74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1,977.44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55.08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55.08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39.02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39.02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财政对其他社会保险基金的补助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财政对失业保险基金的补助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0.35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0.35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2082702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财政对工伤保险基金的补助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2.34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2.34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2101103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2101199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其他行政事业单位医疗支出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21103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污染防治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2110302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水体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2,362.10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625.12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1,736.97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1,518.73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625.12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893.61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397.32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397.32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2130102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29.70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29.70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15.46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15.46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防灾救灾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26.37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26.37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农业结构调整补贴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27.51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27.51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2130124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农村合作经济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2130126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农村社会事业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233.20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233.20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2130153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农田建设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411.69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411.69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2130199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其他农业农村支出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327.49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227.81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99.68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78.58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78.58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2130207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森林资源管理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森林生态效益补偿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0.66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0.66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2130234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林业草原防灾减灾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2130299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其他林业和草原支出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61.45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61.45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巩固脱贫衔接乡村振兴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764.79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764.79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2130504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农村基础设施建设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167.05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167.05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其他巩固脱贫衔接乡村振兴支出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597.74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597.74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10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226.50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486" w:type="pct"/>
            <w:shd w:val="clear"/>
            <w:vAlign w:val="center"/>
          </w:tcPr>
          <w:p>
            <w:pPr>
              <w:pStyle w:val="9"/>
              <w:keepNext w:val="0"/>
              <w:keepLines w:val="0"/>
              <w:widowControl/>
              <w:suppressLineNumbers w:val="0"/>
            </w:pPr>
          </w:p>
        </w:tc>
        <w:tc>
          <w:tcPr>
            <w:tcW w:w="1151"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664" w:type="pct"/>
            <w:shd w:val="clear"/>
            <w:vAlign w:val="center"/>
          </w:tcPr>
          <w:p>
            <w:pPr>
              <w:pStyle w:val="9"/>
              <w:keepNext w:val="0"/>
              <w:keepLines w:val="0"/>
              <w:widowControl/>
              <w:suppressLineNumbers w:val="0"/>
            </w:pPr>
          </w:p>
        </w:tc>
        <w:tc>
          <w:tcPr>
            <w:tcW w:w="456" w:type="pct"/>
            <w:shd w:val="clear"/>
            <w:vAlign w:val="center"/>
          </w:tcPr>
          <w:p>
            <w:pPr>
              <w:pStyle w:val="9"/>
              <w:keepNext w:val="0"/>
              <w:keepLines w:val="0"/>
              <w:widowControl/>
              <w:suppressLineNumbers w:val="0"/>
            </w:pP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87"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部门：邵阳市双清区农业农村局 </w:t>
            </w: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0"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2,490.68 </w:t>
            </w: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2,362.10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2,362.10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11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683" w:type="pct"/>
            <w:shd w:val="clear"/>
            <w:vAlign w:val="center"/>
          </w:tcPr>
          <w:p>
            <w:pPr>
              <w:pStyle w:val="9"/>
              <w:keepNext w:val="0"/>
              <w:keepLines w:val="0"/>
              <w:widowControl/>
              <w:suppressLineNumbers w:val="0"/>
            </w:pPr>
          </w:p>
        </w:tc>
        <w:tc>
          <w:tcPr>
            <w:tcW w:w="964" w:type="pct"/>
            <w:shd w:val="clear"/>
            <w:vAlign w:val="center"/>
          </w:tcPr>
          <w:p>
            <w:pPr>
              <w:pStyle w:val="9"/>
              <w:keepNext w:val="0"/>
              <w:keepLines w:val="0"/>
              <w:widowControl/>
              <w:suppressLineNumbers w:val="0"/>
            </w:pP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部门：邵阳市双清区农业农村局 </w:t>
            </w: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2892"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24"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24"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24"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2,490.68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738.74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1,751.94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57.77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55.08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55.08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39.02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39.02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财政对其他社会保险基金的补助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财政对失业保险基金的补助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0.35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0.35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2082702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财政对工伤保险基金的补助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2.34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2.34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26.59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2101103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2101199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其他行政事业单位医疗支出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21103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污染防治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2110302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水体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2,362.10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625.12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1,736.97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1,518.73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625.12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893.61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397.32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397.32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2130102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29.70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15.46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防灾救灾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26.37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农业结构调整补贴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27.51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2130124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农村合作经济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2130126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农村社会事业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233.20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2130153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农田建设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411.69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2130199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其他农业农村支出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327.49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227.81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78.58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2130207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森林资源管理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森林生态效益补偿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0.66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2130234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林业草原防灾减灾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2130299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其他林业和草原支出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61.45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巩固脱贫衔接乡村振兴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764.79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2130504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农村基础设施建设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167.05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其他巩固脱贫衔接乡村振兴支出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597.74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597.74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29.26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68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shd w:val="clear"/>
            <w:vAlign w:val="center"/>
          </w:tcPr>
          <w:p>
            <w:pPr>
              <w:pStyle w:val="9"/>
              <w:keepNext w:val="0"/>
              <w:keepLines w:val="0"/>
              <w:widowControl/>
              <w:suppressLineNumbers w:val="0"/>
            </w:pPr>
          </w:p>
        </w:tc>
        <w:tc>
          <w:tcPr>
            <w:tcW w:w="1053"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829"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32"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部门：邵阳市双清区农业农村局 </w:t>
            </w: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516.02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63.77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174.27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6.74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89.72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113.71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42.77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31.91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1.85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2.79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0.90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2.28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1.84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38.87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158.38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10.14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5.18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2.43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143.06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053"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36.01 </w:t>
            </w:r>
          </w:p>
        </w:tc>
        <w:tc>
          <w:tcPr>
            <w:tcW w:w="224"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674.41 </w:t>
            </w:r>
          </w:p>
        </w:tc>
        <w:tc>
          <w:tcPr>
            <w:tcW w:w="2645" w:type="pct"/>
            <w:gridSpan w:val="5"/>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6"/>
        <w:gridCol w:w="346"/>
        <w:gridCol w:w="346"/>
        <w:gridCol w:w="3599"/>
        <w:gridCol w:w="1860"/>
        <w:gridCol w:w="2050"/>
        <w:gridCol w:w="1812"/>
        <w:gridCol w:w="1777"/>
        <w:gridCol w:w="1813"/>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 w:type="pct"/>
            <w:shd w:val="clear"/>
            <w:vAlign w:val="center"/>
          </w:tcPr>
          <w:p>
            <w:pPr>
              <w:pStyle w:val="9"/>
              <w:keepNext w:val="0"/>
              <w:keepLines w:val="0"/>
              <w:widowControl/>
              <w:suppressLineNumbers w:val="0"/>
              <w:jc w:val="left"/>
            </w:pPr>
          </w:p>
        </w:tc>
        <w:tc>
          <w:tcPr>
            <w:tcW w:w="108" w:type="pct"/>
            <w:shd w:val="clear"/>
            <w:vAlign w:val="center"/>
          </w:tcPr>
          <w:p>
            <w:pPr>
              <w:pStyle w:val="9"/>
              <w:keepNext w:val="0"/>
              <w:keepLines w:val="0"/>
              <w:widowControl/>
              <w:suppressLineNumbers w:val="0"/>
              <w:jc w:val="left"/>
            </w:pPr>
          </w:p>
        </w:tc>
        <w:tc>
          <w:tcPr>
            <w:tcW w:w="108" w:type="pct"/>
            <w:shd w:val="clear"/>
            <w:vAlign w:val="center"/>
          </w:tcPr>
          <w:p>
            <w:pPr>
              <w:pStyle w:val="9"/>
              <w:keepNext w:val="0"/>
              <w:keepLines w:val="0"/>
              <w:widowControl/>
              <w:suppressLineNumbers w:val="0"/>
              <w:jc w:val="left"/>
            </w:pPr>
          </w:p>
        </w:tc>
        <w:tc>
          <w:tcPr>
            <w:tcW w:w="1122" w:type="pct"/>
            <w:shd w:val="clear"/>
            <w:vAlign w:val="center"/>
          </w:tcPr>
          <w:p>
            <w:pPr>
              <w:pStyle w:val="9"/>
              <w:keepNext w:val="0"/>
              <w:keepLines w:val="0"/>
              <w:widowControl/>
              <w:suppressLineNumbers w:val="0"/>
              <w:jc w:val="left"/>
            </w:pPr>
          </w:p>
        </w:tc>
        <w:tc>
          <w:tcPr>
            <w:tcW w:w="580" w:type="pct"/>
            <w:shd w:val="clear"/>
            <w:vAlign w:val="center"/>
          </w:tcPr>
          <w:p>
            <w:pPr>
              <w:pStyle w:val="9"/>
              <w:keepNext w:val="0"/>
              <w:keepLines w:val="0"/>
              <w:widowControl/>
              <w:suppressLineNumbers w:val="0"/>
              <w:jc w:val="left"/>
            </w:pPr>
          </w:p>
        </w:tc>
        <w:tc>
          <w:tcPr>
            <w:tcW w:w="639" w:type="pct"/>
            <w:shd w:val="clear"/>
            <w:vAlign w:val="center"/>
          </w:tcPr>
          <w:p>
            <w:pPr>
              <w:pStyle w:val="9"/>
              <w:keepNext w:val="0"/>
              <w:keepLines w:val="0"/>
              <w:widowControl/>
              <w:suppressLineNumbers w:val="0"/>
              <w:jc w:val="left"/>
            </w:pPr>
          </w:p>
        </w:tc>
        <w:tc>
          <w:tcPr>
            <w:tcW w:w="565" w:type="pct"/>
            <w:shd w:val="clear"/>
            <w:vAlign w:val="center"/>
          </w:tcPr>
          <w:p>
            <w:pPr>
              <w:pStyle w:val="9"/>
              <w:keepNext w:val="0"/>
              <w:keepLines w:val="0"/>
              <w:widowControl/>
              <w:suppressLineNumbers w:val="0"/>
              <w:jc w:val="left"/>
            </w:pPr>
          </w:p>
        </w:tc>
        <w:tc>
          <w:tcPr>
            <w:tcW w:w="551" w:type="pct"/>
            <w:shd w:val="clear"/>
            <w:vAlign w:val="center"/>
          </w:tcPr>
          <w:p>
            <w:pPr>
              <w:pStyle w:val="9"/>
              <w:keepNext w:val="0"/>
              <w:keepLines w:val="0"/>
              <w:widowControl/>
              <w:suppressLineNumbers w:val="0"/>
              <w:jc w:val="left"/>
            </w:pPr>
          </w:p>
        </w:tc>
        <w:tc>
          <w:tcPr>
            <w:tcW w:w="565" w:type="pct"/>
            <w:shd w:val="clear"/>
            <w:vAlign w:val="center"/>
          </w:tcPr>
          <w:p>
            <w:pPr>
              <w:pStyle w:val="9"/>
              <w:keepNext w:val="0"/>
              <w:keepLines w:val="0"/>
              <w:widowControl/>
              <w:suppressLineNumbers w:val="0"/>
              <w:jc w:val="left"/>
            </w:pPr>
          </w:p>
        </w:tc>
        <w:tc>
          <w:tcPr>
            <w:tcW w:w="649" w:type="pct"/>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84" w:type="pct"/>
            <w:gridSpan w:val="8"/>
            <w:shd w:val="clear"/>
            <w:vAlign w:val="center"/>
          </w:tcPr>
          <w:p>
            <w:pPr>
              <w:pStyle w:val="9"/>
              <w:keepNext w:val="0"/>
              <w:keepLines w:val="0"/>
              <w:widowControl/>
              <w:suppressLineNumbers w:val="0"/>
              <w:jc w:val="left"/>
            </w:pPr>
            <w:r>
              <w:rPr>
                <w:rFonts w:ascii="宋体" w:hAnsi="宋体" w:eastAsia="宋体" w:cs="宋体"/>
                <w:b w:val="0"/>
                <w:bCs w:val="0"/>
                <w:sz w:val="20"/>
                <w:szCs w:val="20"/>
              </w:rPr>
              <w:t xml:space="preserve">部门：邵阳市双清区农业农村局 </w:t>
            </w:r>
          </w:p>
        </w:tc>
        <w:tc>
          <w:tcPr>
            <w:tcW w:w="565" w:type="pct"/>
            <w:shd w:val="clear"/>
            <w:vAlign w:val="center"/>
          </w:tcPr>
          <w:p>
            <w:pPr>
              <w:pStyle w:val="9"/>
              <w:keepNext w:val="0"/>
              <w:keepLines w:val="0"/>
              <w:widowControl/>
              <w:suppressLineNumbers w:val="0"/>
              <w:jc w:val="left"/>
            </w:pPr>
          </w:p>
        </w:tc>
        <w:tc>
          <w:tcPr>
            <w:tcW w:w="649" w:type="pct"/>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6" w:type="pct"/>
            <w:gridSpan w:val="4"/>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683"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24"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6" w:type="pct"/>
            <w:gridSpan w:val="4"/>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46" w:type="pct"/>
            <w:gridSpan w:val="4"/>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12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12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12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12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12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122"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本年度无相关支出 </w:t>
            </w:r>
          </w:p>
        </w:tc>
        <w:tc>
          <w:tcPr>
            <w:tcW w:w="58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3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51"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565"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649"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2"/>
        <w:gridCol w:w="462"/>
        <w:gridCol w:w="462"/>
        <w:gridCol w:w="5507"/>
        <w:gridCol w:w="3047"/>
        <w:gridCol w:w="3047"/>
        <w:gridCol w:w="3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 w:type="pct"/>
            <w:shd w:val="clear"/>
            <w:vAlign w:val="center"/>
          </w:tcPr>
          <w:p>
            <w:pPr>
              <w:pStyle w:val="9"/>
              <w:keepNext w:val="0"/>
              <w:keepLines w:val="0"/>
              <w:widowControl/>
              <w:suppressLineNumbers w:val="0"/>
              <w:jc w:val="left"/>
            </w:pPr>
          </w:p>
        </w:tc>
        <w:tc>
          <w:tcPr>
            <w:tcW w:w="144" w:type="pct"/>
            <w:shd w:val="clear"/>
            <w:vAlign w:val="center"/>
          </w:tcPr>
          <w:p>
            <w:pPr>
              <w:pStyle w:val="9"/>
              <w:keepNext w:val="0"/>
              <w:keepLines w:val="0"/>
              <w:widowControl/>
              <w:suppressLineNumbers w:val="0"/>
              <w:jc w:val="left"/>
            </w:pPr>
          </w:p>
        </w:tc>
        <w:tc>
          <w:tcPr>
            <w:tcW w:w="144" w:type="pct"/>
            <w:shd w:val="clear"/>
            <w:vAlign w:val="center"/>
          </w:tcPr>
          <w:p>
            <w:pPr>
              <w:pStyle w:val="9"/>
              <w:keepNext w:val="0"/>
              <w:keepLines w:val="0"/>
              <w:widowControl/>
              <w:suppressLineNumbers w:val="0"/>
              <w:jc w:val="left"/>
            </w:pPr>
          </w:p>
        </w:tc>
        <w:tc>
          <w:tcPr>
            <w:tcW w:w="1716" w:type="pct"/>
            <w:shd w:val="clear"/>
            <w:vAlign w:val="center"/>
          </w:tcPr>
          <w:p>
            <w:pPr>
              <w:pStyle w:val="9"/>
              <w:keepNext w:val="0"/>
              <w:keepLines w:val="0"/>
              <w:widowControl/>
              <w:suppressLineNumbers w:val="0"/>
              <w:jc w:val="left"/>
            </w:pPr>
          </w:p>
        </w:tc>
        <w:tc>
          <w:tcPr>
            <w:tcW w:w="950" w:type="pct"/>
            <w:shd w:val="clear"/>
            <w:vAlign w:val="center"/>
          </w:tcPr>
          <w:p>
            <w:pPr>
              <w:pStyle w:val="9"/>
              <w:keepNext w:val="0"/>
              <w:keepLines w:val="0"/>
              <w:widowControl/>
              <w:suppressLineNumbers w:val="0"/>
              <w:jc w:val="right"/>
            </w:pPr>
          </w:p>
        </w:tc>
        <w:tc>
          <w:tcPr>
            <w:tcW w:w="1900"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49" w:type="pct"/>
            <w:gridSpan w:val="4"/>
            <w:shd w:val="clear"/>
            <w:vAlign w:val="center"/>
          </w:tcPr>
          <w:p>
            <w:pPr>
              <w:pStyle w:val="9"/>
              <w:keepNext w:val="0"/>
              <w:keepLines w:val="0"/>
              <w:widowControl/>
              <w:suppressLineNumbers w:val="0"/>
              <w:jc w:val="left"/>
            </w:pPr>
            <w:r>
              <w:rPr>
                <w:rFonts w:ascii="宋体" w:hAnsi="宋体" w:eastAsia="宋体" w:cs="宋体"/>
                <w:b w:val="0"/>
                <w:bCs w:val="0"/>
                <w:sz w:val="20"/>
                <w:szCs w:val="20"/>
              </w:rPr>
              <w:t xml:space="preserve">部门：邵阳市双清区农业农村局 </w:t>
            </w:r>
          </w:p>
        </w:tc>
        <w:tc>
          <w:tcPr>
            <w:tcW w:w="950" w:type="pct"/>
            <w:shd w:val="clear"/>
            <w:vAlign w:val="center"/>
          </w:tcPr>
          <w:p>
            <w:pPr>
              <w:pStyle w:val="9"/>
              <w:keepNext w:val="0"/>
              <w:keepLines w:val="0"/>
              <w:widowControl/>
              <w:suppressLineNumbers w:val="0"/>
              <w:jc w:val="right"/>
            </w:pPr>
          </w:p>
        </w:tc>
        <w:tc>
          <w:tcPr>
            <w:tcW w:w="1900"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2850"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32"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32"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32"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49" w:type="pct"/>
            <w:gridSpan w:val="4"/>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49" w:type="pct"/>
            <w:gridSpan w:val="4"/>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7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7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7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7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7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p>
        </w:tc>
        <w:tc>
          <w:tcPr>
            <w:tcW w:w="17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本年度无相关支出 </w:t>
            </w: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c>
          <w:tcPr>
            <w:tcW w:w="950"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部门：邵阳市双清区农业农村局 </w:t>
            </w: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416" w:type="pct"/>
            <w:tcBorders>
              <w:top w:val="single" w:color="666666" w:sz="4" w:space="0"/>
              <w:left w:val="single" w:color="666666" w:sz="4" w:space="0"/>
              <w:bottom w:val="single" w:color="666666" w:sz="4" w:space="0"/>
              <w:right w:val="single" w:color="666666" w:sz="4"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pPr>
        <w:pStyle w:val="9"/>
        <w:keepNext w:val="0"/>
        <w:keepLines w:val="0"/>
        <w:widowControl/>
        <w:suppressLineNumbers w:val="0"/>
      </w:pPr>
    </w:p>
    <w:p>
      <w:pPr>
        <w:rPr>
          <w:color w:val="000000"/>
        </w:rPr>
        <w:sectPr>
          <w:pgSz w:w="16838" w:h="11906"/>
          <w:pgMar w:top="1080" w:right="400" w:bottom="1080" w:left="400" w:header="851" w:footer="992" w:gutter="0"/>
          <w:paperSrc/>
          <w:cols w:space="0" w:num="1"/>
          <w:docGrid w:type="linesAndChars" w:linePitch="160" w:charSpace="0"/>
        </w:sectPr>
      </w:pPr>
    </w:p>
    <w:p>
      <w:pPr>
        <w:spacing w:before="0" w:beforeAutospacing="0" w:after="1" w:afterAutospacing="0"/>
        <w:jc w:val="center"/>
        <w:rPr>
          <w:sz w:val="21"/>
          <w:szCs w:val="21"/>
        </w:rPr>
      </w:pPr>
      <w:r>
        <w:rPr>
          <w:rFonts w:hint="eastAsia" w:ascii="宋体" w:hAnsi="宋体" w:eastAsia="宋体" w:cs="宋体"/>
          <w:b/>
          <w:bCs/>
          <w:color w:val="000000"/>
          <w:sz w:val="36"/>
          <w:szCs w:val="36"/>
        </w:rPr>
        <w:t>第三部分 2022年度部门决算情况说明</w:t>
      </w:r>
      <w:r>
        <w:rPr>
          <w:color w:val="000000"/>
          <w:sz w:val="21"/>
          <w:szCs w:val="21"/>
        </w:rPr>
        <w:t xml:space="preserve"> </w:t>
      </w:r>
    </w:p>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2022年度收、支总计2,716.17万元。与上一年度相比，收、支总计各减少1,010.12万元，下降27.11%。主要原因是项目减少。</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2022年度收入合计2,716.17万元，其中：财政拨款收入2,490.68万元，占91.7%；上级补助收入0万元，占0%；事业收入0万元，占0%；经营收入0万元，占0%；附属单位上缴收入0万元，占0%；其他收入225.5万元，占8.3%。</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2022年度支出合计2,716.17万元，其中：基本支出738.74万元，占27.2%；项目支出1,977.44万元，占72.8%；上缴上级支出0万元，占0%；经营支出0万元，占0%；对附属单位补助支出0万元，占0%。</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2022年度财政拨款收、支总计2,490.68万元。与上一年度相比，财政拨款收、支总计各减少1,235.61万元，下降33.16%。主要原因是项目减少。</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3"/>
        <w:spacing w:before="0" w:beforeAutospacing="0" w:after="1" w:afterAutospacing="0"/>
        <w:ind w:left="0" w:firstLine="855"/>
        <w:rPr>
          <w:sz w:val="27"/>
          <w:szCs w:val="27"/>
        </w:rPr>
      </w:pPr>
      <w:r>
        <w:rPr>
          <w:rFonts w:hint="eastAsia" w:ascii="宋体" w:hAnsi="宋体" w:eastAsia="宋体" w:cs="宋体"/>
          <w:color w:val="000000"/>
          <w:sz w:val="32"/>
          <w:szCs w:val="32"/>
        </w:rPr>
        <w:t>2022年度财政拨款支出2,490.68万元，占本年支出合计的91.7%。与上一年度相比，财政拨款支出减少752.4万元，下降23.2%。主要是因为项目减少。</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财政拨款支出2,490.68万元，主要用于以下方面：社会保障和就业支出57.77万元，占2.32%；卫生健康支出26.59万元，占1.07%；节能环保支出13.97万元，占0.56%；农林水支出2,362.1万元，占94.84%；住房保障支出29.26万元，占1.17%；其他支出1万元，占0.04%。</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2022年度财政拨款支出年初预算数为549.08万元，支出决算数为2,490.68万元，完成年初预算的453.61%，其中：</w:t>
      </w:r>
      <w:r>
        <w:rPr>
          <w:color w:val="000000"/>
          <w:sz w:val="27"/>
          <w:szCs w:val="27"/>
        </w:rPr>
        <w:t xml:space="preserve"> </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1、社会保障和就业支出（类）行政事业单位养老支出（款）行政单位离退休（项）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年初预算为63.94万元，支出决算为16.06万元，完成年初预算的25.12%。决算数小于年初预算数的主要原因是：退休人员待遇由社保直接发放。</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2、社会保障和就业支出（类）行政事业单位养老支出（款）机关事业单位基本养老保险缴费支出（项）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年初预算为39.02万元，支出决算为39.02万元，完成年初预算的100%。决算数与年初预算数一致，我单位严格按预算执行决算。</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3、社会保障和就业支出（类）财政对其他社会保险基金的补助（款）财政对失业保险基金的补助（项）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年初预算为0.35万元，支出决算为0.35万元，完成年初预算的100%。决算数与年初预算数一致，我单位严格按预算执行决算。</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4、社会保障和就业支出（类）财政对其他社会保险基金的补助（款）财政对工伤保险基金的补助（项）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年初预算为2.34万元，支出决算为2.34万元，完成年初预算的100%。决算数与年初预算数一致，我单位严格按预算执行决算。</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5、卫生健康支出（类）行政事业单位医疗（款）行政单位医疗（项）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年初预算为19.89万元，支出决算为19.89万元，完成年初预算的100%。决算数与年初预算数一致，我单位严格按预算执行决算。</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6、卫生健康支出（类）行政事业单位医疗（款）公务员医疗补助（项）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年初预算为5.9万元，支出决算为5.9万元，完成年初预算的100%。决算数与年初预算数一致，我单位严格按预算执行决算。</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7、卫生健康支出（类）行政事业单位医疗（款）其他行政事业单位医疗支出（项）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年初预算为0.8万元，支出决算为0.8万元，完成年初预算的100%。决算数与年初预算数一致，我单位严格按预算执行决算。</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8、节能环保支出（类）污染防治（款）水体（项）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年初预算为0万元，支出决算为13.97万元，超出年初预算的100%。决算数大于年初预算数的主要原因是：项目增加。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9、农林水支出（类）农业农村（款）行政运行（项）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年初预算为321.07万元，支出决算为397.32万元，完成年初预算的123.75%。决算数大于年初预算数的主要原因是：人员经费增加。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10、农林水支出（类）农业农村（款）一般行政管理事务（项）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年初预算为47万元，支出决算为29.7万元，完成年初预算的63.19%。决算数小于年初预算数的主要原因是：工作经费减少。</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11、农林水支出（类）农业农村（款）农产品质量安全（项）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年初预算为0万元，支出决算为15.46万元，超出年初预算的100%。决算数大于年初预算数的主要原因是：项目增加。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12、农林水支出（类）农业农村（款）防灾救灾（项）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年初预算为0万元，支出决算为26.37万元，超出年初预算的100%。决算数大于年初预算数的主要原因是：项目增加。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13、农林水支出（类）农业农村（款）农业结构调整补贴（项）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年初预算为0万元，支出决算为27.51万元，超出年初预算的100%。决算数大于年初预算数的主要原因是：项目增加。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14、农林水支出（类）农业农村（款）农村合作经济（项）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年初预算为0万元，支出决算为50万元，超出年初预算的100%。决算数大于年初预算数的主要原因是：项目增加。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15、农林水支出（类）农业农村（款）农村社会事业（项）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年初预算为0万元，支出决算为233.2万元，超出年初预算的100%。决算数大于年初预算数的主要原因是：项目增加。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16、农林水支出（类）农业农村（款）农田建设（项）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年初预算为0万元，支出决算为411.69万元，超出年初预算的100%。决算数大于年初预算数的主要原因是：项目增加。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17、农林水支出（类）农业农村（款）其他农业农村支出（项）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年初预算为0万元，支出决算为327.49万元，超出年初预算的100%。决算数大于年初预算数的主要原因是：项目增加。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18、农林水支出（类）林业和草原（款）森林资源管理（项）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年初预算为0万元，支出决算为10万元，超出年初预算的100%。决算数大于年初预算数的主要原因是：项目增加。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19、农林水支出（类）林业和草原（款）森林生态效益补偿（项）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年初预算为0万元，支出决算为0.66万元，超出年初预算的100%。决算数大于年初预算数的主要原因是：项目增加。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20、农林水支出（类）林业和草原（款）林业草原防灾减灾（项）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年初预算为0万元，支出决算为6.47万元，超出年初预算的100%。决算数大于年初预算数的主要原因是：项目增加。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21、农林水支出（类）林业和草原（款）其他林业和草原支出（项）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年初预算为0万元，支出决算为61.45万元，超出年初预算的100%。决算数大于年初预算数的主要原因是：项目增加。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22、农林水支出（类）巩固脱贫衔接乡村振兴（款）农村基础设施建设（项）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年初预算为0万元，支出决算为167.05万元，超出年初预算的100%。决算数大于年初预算数的主要原因是：项目增加。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23、农林水支出（类）巩固脱贫衔接乡村振兴（款）其他巩固脱贫衔接乡村振兴支出（项）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年初预算为0万元，支出决算为597.74万元，超出年初预算的100%。决算数大于年初预算数的主要原因是：项目增加。</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24、住房保障支出（类）住房改革支出（款）住房公积金（项）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年初预算为29.26万元，支出决算为29.26万元，完成年初预算的100%。决算数与年初预算数一致，我单位严格按预算执行决算。</w:t>
      </w:r>
    </w:p>
    <w:p>
      <w:pPr>
        <w:pStyle w:val="13"/>
        <w:spacing w:before="0" w:beforeAutospacing="0" w:after="1" w:afterAutospacing="0"/>
        <w:ind w:left="0" w:firstLine="641"/>
        <w:rPr>
          <w:sz w:val="27"/>
          <w:szCs w:val="27"/>
        </w:rPr>
      </w:pPr>
      <w:r>
        <w:rPr>
          <w:rStyle w:val="12"/>
          <w:rFonts w:hint="eastAsia" w:ascii="宋体" w:hAnsi="宋体" w:eastAsia="宋体" w:cs="宋体"/>
          <w:color w:val="000000"/>
          <w:sz w:val="32"/>
          <w:szCs w:val="32"/>
        </w:rPr>
        <w:t>25、其他支出（类）其他支出（款）其他支出（项）</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年初预算为0万元，支出决算为1万元，超出年初预算的100%。决算数大于年初预算数的主要原因是：项目增加。</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2022年度财政拨款基本支出738.74万元，其中：</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人员经费674.41万元，占基本支出的91.29%，主要包括：基本工资、津贴补贴、奖金、绩效工资、机关事业单位基本养老保险缴费、职业年金缴费、职工基本医疗保险缴费、其他社会保障缴费、住房公积金、其他工资福利支出、退休费、生活补助、其他对个人和家庭的补助。</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公用经费64.33万元，占基本支出的8.71%，主要包括：办公设备购置、办公费、电费、邮电费、差旅费、劳务费、工会经费、公务用车运行维护费、其他商品和服务支出。</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2022年度“三公”经费财政拨款支出预算为4万元，支出决算为4万元，完成预算的100%，其中：</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公务接待费支出预算为0万元，支出决算为0万元，决算数与预算数一致，我单位严格按预算执行决算，公务接待费支出与上年持平。</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公务用车运行维护费支出预算为4万元，支出决算为4万元，决算数与预算数一致，我单位严格按预算执行决算，与上年相比增加4万元，增长100%，增长的主要原因是公务租车费用。</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2022年度“三公”经费财政拨款支出决算中，公务接待费支出决算0万元，因公出国（境）费支出决算0万元，公务用车购置费及运行维护费支出决算4万元，占100%。其中：</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1、因公出国（境）费支出决算为0万元，全年安排因公出国（境）团组0个，累计0人次，我单位2022年度无因公出国（境）费支出。</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2、公务接待费支出决算为0万元，全年共接待来访团组0个、来宾0人次，我单位2022年度无公务接待费支出。</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3、公务用车购置费及运行维护费支出决算为4万元，其中：公务用车购置费0万元，邵阳市双清区农业农村局更新公务用车0辆，无购置公务用车。公务用车运行维护费4万元，主要是公务租车（公务车已报损）支出，截至2022年12月31日，我单位开支财政拨款的公务用车保有量为5辆。</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color w:val="000000"/>
          <w:sz w:val="32"/>
          <w:szCs w:val="32"/>
        </w:rPr>
        <w:t xml:space="preserve">邵阳市双清区农业农村局2022年度没有政府性基金收入，也没有使用政府性基金安排的支出，并已公开空表。 </w:t>
      </w:r>
    </w:p>
    <w:p>
      <w:pPr>
        <w:pStyle w:val="13"/>
        <w:spacing w:before="0" w:beforeAutospacing="0" w:after="1" w:afterAutospacing="0"/>
        <w:ind w:left="0" w:firstLine="640"/>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 xml:space="preserve">邵阳市双清区农业农村局2022年度机关运行经费支出64.33万元，比上一年度减少50.67万元，下降44.06%。主要原因是：行政运行项目支出部分支出。 </w:t>
      </w:r>
    </w:p>
    <w:p>
      <w:pPr>
        <w:pStyle w:val="13"/>
        <w:spacing w:before="0" w:beforeAutospacing="0" w:after="1"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2022年度本单位支出会议费0万元，我单位2022年度无会议费支出；开支培训费3.43万元，用于开展致富带头人培训，人数7人，内容为乡村建设、产业发展；举办0等节庆、晚会、论坛、赛事活动，开支0万元。</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3"/>
        <w:spacing w:before="0" w:beforeAutospacing="0" w:after="1" w:afterAutospacing="0"/>
        <w:ind w:left="0" w:firstLine="640"/>
        <w:jc w:val="both"/>
        <w:rPr>
          <w:sz w:val="27"/>
          <w:szCs w:val="27"/>
        </w:rPr>
      </w:pPr>
      <w:r>
        <w:rPr>
          <w:rFonts w:hint="eastAsia" w:ascii="宋体" w:hAnsi="宋体" w:eastAsia="宋体" w:cs="宋体"/>
          <w:color w:val="000000"/>
          <w:sz w:val="32"/>
          <w:szCs w:val="32"/>
          <w:shd w:val="clear" w:fill="FFFFFF"/>
        </w:rPr>
        <w:t>邵阳市双清区农业农村局</w:t>
      </w:r>
      <w:r>
        <w:rPr>
          <w:rFonts w:hint="eastAsia" w:ascii="宋体" w:hAnsi="宋体" w:eastAsia="宋体" w:cs="宋体"/>
          <w:color w:val="000000"/>
          <w:sz w:val="32"/>
          <w:szCs w:val="32"/>
        </w:rPr>
        <w:t>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ascii="宋体" w:hAnsi="宋体" w:eastAsia="宋体" w:cs="宋体"/>
          <w:color w:val="000000"/>
          <w:sz w:val="32"/>
          <w:szCs w:val="32"/>
        </w:rPr>
        <w:t>货物采购授予中小企业合同金额占货物支出金额的0%，工程采购授予中小企业合同金额占工程支出金额的0%，服务采购授予中小企业合同金额占服务支出金额的0%。</w:t>
      </w:r>
      <w:r>
        <w:rPr>
          <w:rFonts w:hint="eastAsia" w:ascii="宋体" w:hAnsi="宋体" w:eastAsia="宋体" w:cs="宋体"/>
          <w:color w:val="000000"/>
          <w:sz w:val="32"/>
          <w:szCs w:val="32"/>
        </w:rPr>
        <w:t xml:space="preserve"> </w:t>
      </w:r>
    </w:p>
    <w:p>
      <w:pPr>
        <w:pStyle w:val="13"/>
        <w:spacing w:before="0" w:beforeAutospacing="0" w:after="1"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3"/>
        <w:spacing w:before="0" w:beforeAutospacing="0" w:after="1" w:afterAutospacing="0"/>
        <w:ind w:left="0" w:firstLine="640"/>
        <w:rPr>
          <w:sz w:val="27"/>
          <w:szCs w:val="27"/>
        </w:rPr>
      </w:pPr>
      <w:r>
        <w:rPr>
          <w:rFonts w:hint="eastAsia" w:ascii="宋体" w:hAnsi="宋体" w:eastAsia="宋体" w:cs="宋体"/>
          <w:color w:val="000000"/>
          <w:sz w:val="32"/>
          <w:szCs w:val="32"/>
        </w:rPr>
        <w:t>截至2022年12月31日，</w:t>
      </w:r>
      <w:r>
        <w:rPr>
          <w:rFonts w:hint="eastAsia" w:ascii="宋体" w:hAnsi="宋体" w:eastAsia="宋体" w:cs="宋体"/>
          <w:color w:val="000000"/>
          <w:sz w:val="32"/>
          <w:szCs w:val="32"/>
          <w:shd w:val="clear" w:fill="FFFFFF"/>
        </w:rPr>
        <w:t>邵阳市双清区农业农村局</w:t>
      </w:r>
      <w:r>
        <w:rPr>
          <w:rFonts w:hint="eastAsia" w:ascii="宋体" w:hAnsi="宋体" w:eastAsia="宋体" w:cs="宋体"/>
          <w:color w:val="000000"/>
          <w:sz w:val="32"/>
          <w:szCs w:val="32"/>
        </w:rPr>
        <w:t>共有车辆5辆（台），其中：副部（省）级及以上领导用车0辆、主要领导干部用车0辆、机要通信用车0辆、应急保障用车0辆、执法执勤用车0辆、特种专业技术用车0辆、其他用车5辆，其他用车主要是公务用车（已报损）；单价100万元（含）以上专用设备0台（套）。</w:t>
      </w:r>
      <w:r>
        <w:rPr>
          <w:color w:val="000000"/>
          <w:sz w:val="27"/>
          <w:szCs w:val="27"/>
        </w:rPr>
        <w:t xml:space="preserve"> </w:t>
      </w:r>
    </w:p>
    <w:p>
      <w:pPr>
        <w:pStyle w:val="13"/>
        <w:spacing w:before="0" w:beforeAutospacing="0" w:after="1" w:afterAutospacing="0"/>
        <w:ind w:left="0" w:firstLine="641"/>
        <w:rPr>
          <w:sz w:val="27"/>
          <w:szCs w:val="27"/>
        </w:rPr>
      </w:pPr>
      <w:r>
        <w:rPr>
          <w:rFonts w:hint="eastAsia" w:ascii="宋体" w:hAnsi="宋体" w:eastAsia="宋体" w:cs="宋体"/>
          <w:b/>
          <w:bCs/>
          <w:color w:val="000000"/>
          <w:sz w:val="32"/>
          <w:szCs w:val="32"/>
        </w:rPr>
        <w:t>十三、关于2022年度预算绩效情况说明</w:t>
      </w:r>
      <w:r>
        <w:rPr>
          <w:color w:val="000000"/>
          <w:sz w:val="27"/>
          <w:szCs w:val="27"/>
        </w:rPr>
        <w:t xml:space="preserve"> </w:t>
      </w:r>
    </w:p>
    <w:p>
      <w:pPr>
        <w:pStyle w:val="13"/>
        <w:spacing w:before="0" w:beforeAutospacing="0" w:after="1" w:afterAutospacing="0"/>
        <w:ind w:left="0" w:firstLine="641"/>
        <w:rPr>
          <w:sz w:val="27"/>
          <w:szCs w:val="27"/>
        </w:rPr>
      </w:pPr>
      <w:r>
        <w:rPr>
          <w:rStyle w:val="12"/>
          <w:rFonts w:ascii="宋体" w:hAnsi="宋体" w:eastAsia="宋体" w:cs="宋体"/>
          <w:b/>
          <w:bCs/>
          <w:color w:val="000000"/>
          <w:sz w:val="32"/>
          <w:szCs w:val="32"/>
        </w:rPr>
        <w:t>（一）部门整体支出绩效情况</w:t>
      </w:r>
      <w:r>
        <w:rPr>
          <w:color w:val="000000"/>
          <w:sz w:val="27"/>
          <w:szCs w:val="27"/>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2022年，我单位强化责任，加强管理，计较好的完成年度工作目标，乡村振兴工作取得好的成绩。通过不断健全内部管理制度，优化管理流程，部门整体管理水平得到提升。</w:t>
      </w:r>
      <w:r>
        <w:rPr>
          <w:color w:val="000000"/>
          <w:sz w:val="27"/>
          <w:szCs w:val="27"/>
        </w:rPr>
        <w:t xml:space="preserve"> </w:t>
      </w:r>
    </w:p>
    <w:p>
      <w:pPr>
        <w:pStyle w:val="13"/>
        <w:spacing w:before="0" w:beforeAutospacing="0" w:after="1" w:afterAutospacing="0"/>
        <w:ind w:left="0" w:firstLine="641"/>
        <w:rPr>
          <w:sz w:val="27"/>
          <w:szCs w:val="27"/>
        </w:rPr>
      </w:pPr>
      <w:r>
        <w:rPr>
          <w:rStyle w:val="12"/>
          <w:rFonts w:ascii="宋体" w:hAnsi="宋体" w:eastAsia="宋体" w:cs="宋体"/>
          <w:b/>
          <w:bCs/>
          <w:color w:val="000000"/>
          <w:sz w:val="32"/>
          <w:szCs w:val="32"/>
        </w:rPr>
        <w:t>（二）存在的问题及原因分析</w:t>
      </w:r>
      <w:r>
        <w:rPr>
          <w:color w:val="000000"/>
          <w:sz w:val="27"/>
          <w:szCs w:val="27"/>
        </w:rPr>
        <w:t xml:space="preserve"> </w:t>
      </w:r>
    </w:p>
    <w:p>
      <w:pPr>
        <w:pStyle w:val="13"/>
        <w:spacing w:before="0" w:beforeAutospacing="0" w:after="1" w:afterAutospacing="0"/>
        <w:ind w:left="0" w:firstLine="641"/>
        <w:rPr>
          <w:sz w:val="27"/>
          <w:szCs w:val="27"/>
        </w:rPr>
      </w:pPr>
      <w:r>
        <w:rPr>
          <w:rFonts w:ascii="宋体" w:hAnsi="宋体" w:eastAsia="宋体" w:cs="宋体"/>
          <w:color w:val="000000"/>
          <w:sz w:val="32"/>
          <w:szCs w:val="32"/>
        </w:rPr>
        <w:t>帐务处理有待规范，在帐务处理时严格区分项目支出和基本支出，统一核算</w:t>
      </w:r>
      <w:r>
        <w:rPr>
          <w:color w:val="000000"/>
          <w:sz w:val="27"/>
          <w:szCs w:val="27"/>
        </w:rPr>
        <w:t xml:space="preserve"> </w:t>
      </w:r>
    </w:p>
    <w:p>
      <w:pPr>
        <w:pStyle w:val="9"/>
        <w:keepNext w:val="0"/>
        <w:keepLines w:val="0"/>
        <w:widowControl/>
        <w:suppressLineNumbers w:val="0"/>
        <w:spacing w:before="0" w:beforeAutospacing="0" w:after="1" w:afterAutospacing="0"/>
      </w:pPr>
    </w:p>
    <w:p>
      <w:pPr>
        <w:pStyle w:val="13"/>
        <w:spacing w:before="0" w:beforeAutospacing="0" w:after="1" w:afterAutospacing="0"/>
        <w:ind w:left="0" w:firstLine="641"/>
        <w:rPr>
          <w:sz w:val="27"/>
          <w:szCs w:val="27"/>
        </w:rPr>
      </w:pPr>
    </w:p>
    <w:p/>
    <w:p>
      <w:pPr>
        <w:spacing w:before="0" w:beforeAutospacing="0" w:after="1"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1"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p>
    <w:p>
      <w:pPr>
        <w:spacing w:before="0" w:beforeAutospacing="0" w:after="1"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1" w:afterAutospacing="0"/>
        <w:jc w:val="center"/>
        <w:rPr>
          <w:sz w:val="21"/>
          <w:szCs w:val="21"/>
        </w:rPr>
      </w:pPr>
    </w:p>
    <w:p>
      <w:pPr>
        <w:spacing w:before="0" w:beforeAutospacing="0" w:after="1" w:afterAutospacing="0"/>
        <w:jc w:val="center"/>
        <w:rPr>
          <w:sz w:val="21"/>
          <w:szCs w:val="21"/>
        </w:rPr>
      </w:pP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fixed"/>
    <w:sig w:usb0="0000028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Black">
    <w:panose1 w:val="020B0A04020102020204"/>
    <w:charset w:val="00"/>
    <w:family w:val="auto"/>
    <w:pitch w:val="variable"/>
    <w:sig w:usb0="A00002AF" w:usb1="400078FB" w:usb2="00000000" w:usb3="00000000" w:csb0="6000009F" w:csb1="DFD70000"/>
  </w:font>
  <w:font w:name="楷体">
    <w:panose1 w:val="02010609060101010101"/>
    <w:charset w:val="86"/>
    <w:family w:val="auto"/>
    <w:pitch w:val="fixed"/>
    <w:sig w:usb0="800002BF" w:usb1="38CF7CFA" w:usb2="00000016" w:usb3="00000000" w:csb0="00040001" w:csb1="00000000"/>
  </w:font>
  <w:font w:name="Verdana">
    <w:panose1 w:val="020B0604030504040204"/>
    <w:charset w:val="00"/>
    <w:family w:val="auto"/>
    <w:pitch w:val="variable"/>
    <w:sig w:usb0="A00006FF" w:usb1="4000205B" w:usb2="00000010" w:usb3="00000000" w:csb0="2000019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Tahoma">
    <w:panose1 w:val="020B0604030504040204"/>
    <w:charset w:val="00"/>
    <w:family w:val="auto"/>
    <w:pitch w:val="variable"/>
    <w:sig w:usb0="E1002EFF" w:usb1="C000605B" w:usb2="00000029" w:usb3="00000000" w:csb0="200101FF" w:csb1="20280000"/>
  </w:font>
  <w:font w:name="@微软雅黑">
    <w:panose1 w:val="020B0503020204020204"/>
    <w:charset w:val="86"/>
    <w:family w:val="auto"/>
    <w:pitch w:val="variable"/>
    <w:sig w:usb0="80000287" w:usb1="2ACF3C50" w:usb2="00000016" w:usb3="00000000" w:csb0="0004001F" w:csb1="00000000"/>
  </w:font>
  <w:font w:name="@新宋体">
    <w:panose1 w:val="02010609030101010101"/>
    <w:charset w:val="86"/>
    <w:family w:val="auto"/>
    <w:pitch w:val="fixed"/>
    <w:sig w:usb0="0000028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46BD4"/>
    <w:rsid w:val="404B75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paragraph" w:customStyle="1" w:styleId="13">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2023-10-12T01:26:16Z</dcterms:created>
  <dc:creator>lenovo</dc:creator>
  <cp:lastModifiedBy>呙振军</cp:lastModifiedBy>
  <dcterms:modified xsi:type="dcterms:W3CDTF">2023-10-12T01:26:42Z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071F822501344CD2AACA5533E1CC13C2_13</vt:lpwstr>
  </property>
</Properties>
</file>