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双清区财政局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年预算绩效管理工作总结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及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的关心和支持下，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双清区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深入贯彻落实全面实施绩效管理的要求，夯实基础，深入推进绩效管理工作，坚持以绩效目标为导向，以绩效监控为督导，以绩效评价为手段，以结果应用为保障，积极探索建立全过程预算绩效管理机制，预算绩效管理的规模及质量稳步提升，取得较好成效。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年工作总结与202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年工作安排汇报如下：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贯彻落实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“预算绩效管理提升年”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活动，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完善制度建设，压实主体责任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加强组织领导。我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双清区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预算绩效管理工作领导小组及其办公室，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财政局成立了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局内部领导工作小组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，建立各股室分片区管理协同机制，统筹全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预算绩效管理相关工作。同时为压实部门主体责任，202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区126个区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直预算单位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及乡镇办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均已成立预算绩效管理工作领导小组，明确了部门内部职责分工，为推动我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预算管理管理全覆盖提供组织保障，合力推进我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" w:eastAsia="zh-CN"/>
        </w:rPr>
        <w:t>深入贯彻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" w:eastAsia="zh-CN"/>
        </w:rPr>
        <w:t>党的二十大精神，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认真落实上级党委政府以及我区深化预算绩效管理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要求，按照省市活动方案精神，着力提高财政资源配置效率和使用效益，202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年在全区组织开展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“预算绩效管理提升年”活动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双清区财政局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印发《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双清区财政局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“绩效管理提升年”行动实施方案》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双财绩〔202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，并对照实施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方案进一步明确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了预算绩效管理的各项工作规程等文件，制定了202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全年预算绩效管理工作的基本计划和相关制度，对指标因地制宜的进行动态监控，并在各阶段向各单位发送相关工作提示单。同时将各部门预算绩效工作纳入政府目标考核体系，不断健全完善预算绩效管理的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强化目标考核。我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已将预算绩效管理工作纳入了政府目标管理考核，制定了预算绩效管理工作考核细则，对相关材料未报送或报送不及时的将进行扣分，对工作落实不力的部门进行通报，并将考核结果报送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区委区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区人大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（二）稳步工作推进，落实全程管控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事前评估力度最大化。为提高财政资金配置的合理性和科学性，将有限的财政资金发挥出最大的效益，一方面，我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对拟新出台或修订调整的、预算金额在100万以上的重大项目开展事前评估，并要求单位按要求出具事前评估报告，作为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年项目预算安排的重要依据。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绩效目标管理全覆盖。各预算单位在编制202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年预算时，同步编制所有项目和部门整体预算的绩效目标，完成对202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本单位所有项目、上级转移支付、部门整体支出绩效申报表的填报，并由财政部门对其目标设置的合理性进行全面审核；同时，各单位及时上报部门整体绩效目标申报表及项目绩效目标申报表，并对本年度追加项目及上级转移支付项目要求填报、查缺补漏，做到绩效目标管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绩效监控管理更完善。我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月份完成了对202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年项目和部门整体的绩效目标实现程度和预算执行实施“双监控”，及时对偏离目标情况进行预警纠偏，对影响财政资金使用的主要指标进行了日常跟踪监控，加强财政资金监管，并将202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实施的全部项目纳入监控范围内。同时开展绩效监控回头看工作，扎实整改推进绩效整体工作的运行，坚持问题导向，汇总分析监控情况，发现了部分项目实施进度较慢、资金使用明显滞后等问题，并要求相关项目单位分析原因、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绩效评价范围扩大化。根据上级文件要求，我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扩大了预算绩效评价的范围，并积极围绕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政府重大决策部署开展财政绩效评价。202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年度，组织全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所有预算单位对202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年全部项目开展了项目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绩效评价信息公开透明化。我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积极邀请第三方机构对我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年重点项目进行评价，此次财政评价共选择1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个大项目，其中重点项目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个，部门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整体绩效评价6个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财政评价。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对这些项目在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门户网站上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公开，评价结果及时反馈给部门并督促其整改，现均已整改到位，健全了绩效评价结果反馈制度和绩效问题整改责任制，加强绩效评价结果应用。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）做实评价结果应用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上年预算绩效事后评价结果与下年部门预算编制紧密结合。结果应用是发挥绩效管理效能的关键。按照“谁主管、谁使用、谁负责”的原则，深化预算单位的绩效责任主体意识，及时反馈评价结果，并跟踪整改落实情况。完善评价结果与预算安排的有效衔接机制，将绩效评价结果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年度编制预算和安排财政资金的重要参考依据，对于上一年没有完成绩效目标的要报送相关解释说明，并有针对性的核减或取消项目预算，不断推动健全完善预算绩效管理机制，并在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政府门户网站公布，以加强社会监督力度，让民众共同参与预算绩效管理。在安排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将绩效评价结果作为重要依据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（一）绩效管理业务部门重视程度不够，绩效管理效率和效果有待提高。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目前，部分单位开展预算绩效管理仍然以财务部门为主、其他相关业务部门、实施单位参与度低，财务与业务脱节现象较普遍。由于财务部门对于项目的了解有限，难以准确、充分掌握项目实施相关情况，开展预算绩效管理的效率和效果均不高，有待业务部门、实施单位的共同参与予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（二）预算绩效评价指标定性指标多，定量指标少，评价指标体系框架有待全面健全和完善。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由于对纳入管理对象的项目了解不够透彻，或认识上不到位，在编制评价指标时，偏向于选择易于完成的定性指标，而定量指标却很少，缺乏反映预算绩效目标成果的关键指标，很难反映真实情况。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只按照上级下发的大体要求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了预算绩效指标体系，其他项目管理绩效指标的设定尚缺乏统一的指导，不能满足从不同层面、不同行业、不同支出性质等方面进行综合、立体评价的要求，必然影响财政支出绩效评价结果的公正合理性，评价指标体系框架有待全面健全和完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（三）绩效评价反馈效果利用价值及处罚执行力度有待提高。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仍然有些部门、单位在思想上及管理措施上未根本扭转，存在资金未挪用、未占用就行的想法，资金使用效益不高，管理责任不强，对绩效管理工作未充分重视，绩效评价结果与项目管理责任未切实关联，对评价结果不达标的项目处罚措施缺乏力度，评价反馈效果利用价值及执行力度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下一步工作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（一）进一步加强绩效管理工作培训力度。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强化素质培训，加大培训力度。增强预算绩效管理人员的业务素质，保质保量完成绩效管理工作。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）进一步加强项目绩效目标管理。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国家相关政策、财政支出方向和重点、部门职能及事业发展规划等预算单位提出的绩效目标进行审核，包括绩效目标与部门职能的相关性、绩效目标的实现所采取措施的可行性、实现绩效目标所需资金的合理性等。定期采集绩效运行信息并汇总分析，对绩效目标运行情况进行跟踪管理和督促检查，纠偏扬长，促进绩效目标的顺利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）进一步加强项目绩效评价。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局内业务股室将预算绩效管理考评加入到日常工作中，形成常规化管理。加强预算单位项目自评工作，提高报告质量。认真分析研究评价结果所反映的问题，努力查找资金的使用和管理中的薄弱环节，制定改进和提高工作的措施。加大绩效办对预算单位的绩效评价工作指导、监督和检查的力度。同时，加大重点评价工作力度。选出一些重点项目，借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工作经验，积极引入有资质的第三方，到项目施工地开展重点绩效评价，确保项目资金的合理运用。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）进一步加强绩效评价结果运用。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绩效评价结果的反馈与整改、激励与问责制度，不断完善绩效评价结果的反馈和运用机制，将绩效结果向社会逐步公布，进一步增强单位的责任感和紧迫感。将评价结果作为安排以后年度预算的重要依据，将一些绩效评价结果不好的项目取消，对执行不力的单位的预算要进行相应削减，切实发挥绩效评价工作的应有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RmMzAyZTU1M2MxZTAwZGI2ODM0ZjAyZDVlMzEifQ=="/>
  </w:docVars>
  <w:rsids>
    <w:rsidRoot w:val="612051AC"/>
    <w:rsid w:val="17F40992"/>
    <w:rsid w:val="2B4E2D46"/>
    <w:rsid w:val="32992AF0"/>
    <w:rsid w:val="38F03379"/>
    <w:rsid w:val="45AF41A8"/>
    <w:rsid w:val="470D4CD3"/>
    <w:rsid w:val="57C442DF"/>
    <w:rsid w:val="57F16511"/>
    <w:rsid w:val="5E0341F2"/>
    <w:rsid w:val="612051AC"/>
    <w:rsid w:val="677965BE"/>
    <w:rsid w:val="75F80F43"/>
    <w:rsid w:val="7A5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3032</Words>
  <Characters>3089</Characters>
  <Lines>0</Lines>
  <Paragraphs>0</Paragraphs>
  <TotalTime>11</TotalTime>
  <ScaleCrop>false</ScaleCrop>
  <LinksUpToDate>false</LinksUpToDate>
  <CharactersWithSpaces>3091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2021-12-14T09:07:00Z</dcterms:created>
  <dc:creator>曾蒋平 10.105.109.124</dc:creator>
  <cp:lastModifiedBy>Administrator</cp:lastModifiedBy>
  <cp:lastPrinted>2022-12-18T10:04:00Z</cp:lastPrinted>
  <dcterms:modified xsi:type="dcterms:W3CDTF">2024-07-12T03:06:59Z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A9A9E8D055A346F09CF72BD27CCD24B9</vt:lpwstr>
  </property>
</Properties>
</file>