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CellSpacing w:w="0" w:type="dxa"/>
        <w:tblInd w:w="0" w:type="dxa"/>
        <w:tblLayout w:type="fixed"/>
        <w:tblCellMar>
          <w:top w:w="0" w:type="dxa"/>
          <w:left w:w="0" w:type="dxa"/>
          <w:bottom w:w="0" w:type="dxa"/>
          <w:right w:w="0" w:type="dxa"/>
        </w:tblCellMar>
      </w:tblPr>
      <w:tblGrid>
        <w:gridCol w:w="12821"/>
        <w:gridCol w:w="1137"/>
      </w:tblGrid>
      <w:tr>
        <w:tblPrEx>
          <w:tblCellMar>
            <w:top w:w="0" w:type="dxa"/>
            <w:left w:w="0" w:type="dxa"/>
            <w:bottom w:w="0" w:type="dxa"/>
            <w:right w:w="0" w:type="dxa"/>
          </w:tblCellMar>
        </w:tblPrEx>
        <w:trPr>
          <w:trHeight w:val="750" w:hRule="atLeast"/>
          <w:tblCellSpacing w:w="0" w:type="dxa"/>
        </w:trPr>
        <w:tc>
          <w:tcPr>
            <w:tcW w:w="13958" w:type="dxa"/>
            <w:gridSpan w:val="2"/>
            <w:noWrap w:val="0"/>
            <w:vAlign w:val="center"/>
          </w:tcPr>
          <w:p>
            <w:pPr>
              <w:widowControl/>
              <w:jc w:val="center"/>
              <w:rPr>
                <w:rFonts w:ascii="Verdana" w:hAnsi="Verdana" w:cs="宋体"/>
                <w:color w:val="222222"/>
                <w:kern w:val="0"/>
                <w:sz w:val="36"/>
                <w:szCs w:val="36"/>
              </w:rPr>
            </w:pPr>
            <w:r>
              <w:rPr>
                <w:rFonts w:hint="eastAsia" w:ascii="Verdana" w:hAnsi="Verdana" w:cs="宋体"/>
                <w:color w:val="222222"/>
                <w:kern w:val="0"/>
                <w:sz w:val="36"/>
                <w:szCs w:val="36"/>
              </w:rPr>
              <w:t>双清区</w:t>
            </w:r>
            <w:r>
              <w:rPr>
                <w:rFonts w:hint="eastAsia" w:ascii="Verdana" w:hAnsi="Verdana" w:cs="宋体"/>
                <w:color w:val="222222"/>
                <w:kern w:val="0"/>
                <w:sz w:val="36"/>
                <w:szCs w:val="36"/>
                <w:lang w:eastAsia="zh-CN"/>
              </w:rPr>
              <w:t>城市管理和综合执法局</w:t>
            </w:r>
            <w:r>
              <w:rPr>
                <w:rFonts w:ascii="Verdana" w:hAnsi="Verdana" w:cs="宋体"/>
                <w:color w:val="222222"/>
                <w:kern w:val="0"/>
                <w:sz w:val="36"/>
                <w:szCs w:val="36"/>
              </w:rPr>
              <w:t>整体支出绩效评价报告</w:t>
            </w:r>
          </w:p>
        </w:tc>
      </w:tr>
      <w:tr>
        <w:tblPrEx>
          <w:tblCellMar>
            <w:top w:w="0" w:type="dxa"/>
            <w:left w:w="0" w:type="dxa"/>
            <w:bottom w:w="0" w:type="dxa"/>
            <w:right w:w="0" w:type="dxa"/>
          </w:tblCellMar>
        </w:tblPrEx>
        <w:trPr>
          <w:trHeight w:val="450" w:hRule="atLeast"/>
          <w:tblCellSpacing w:w="0" w:type="dxa"/>
        </w:trPr>
        <w:tc>
          <w:tcPr>
            <w:tcW w:w="13958" w:type="dxa"/>
            <w:gridSpan w:val="2"/>
            <w:noWrap w:val="0"/>
            <w:vAlign w:val="center"/>
          </w:tcPr>
          <w:p>
            <w:pPr>
              <w:widowControl/>
              <w:jc w:val="center"/>
              <w:rPr>
                <w:rFonts w:ascii="Verdana" w:hAnsi="Verdana" w:cs="宋体"/>
                <w:color w:val="222222"/>
                <w:kern w:val="0"/>
                <w:sz w:val="18"/>
                <w:szCs w:val="18"/>
              </w:rPr>
            </w:pPr>
          </w:p>
        </w:tc>
      </w:tr>
      <w:tr>
        <w:tblPrEx>
          <w:tblCellMar>
            <w:top w:w="0" w:type="dxa"/>
            <w:left w:w="0" w:type="dxa"/>
            <w:bottom w:w="0" w:type="dxa"/>
            <w:right w:w="0" w:type="dxa"/>
          </w:tblCellMar>
        </w:tblPrEx>
        <w:trPr>
          <w:tblCellSpacing w:w="0" w:type="dxa"/>
        </w:trPr>
        <w:tc>
          <w:tcPr>
            <w:tcW w:w="13958" w:type="dxa"/>
            <w:gridSpan w:val="2"/>
            <w:noWrap w:val="0"/>
            <w:vAlign w:val="center"/>
          </w:tcPr>
          <w:p>
            <w:pPr>
              <w:widowControl/>
              <w:jc w:val="left"/>
              <w:rPr>
                <w:rFonts w:ascii="Verdana" w:hAnsi="Verdana" w:cs="宋体"/>
                <w:color w:val="222222"/>
                <w:kern w:val="0"/>
                <w:sz w:val="18"/>
                <w:szCs w:val="18"/>
              </w:rPr>
            </w:pPr>
          </w:p>
        </w:tc>
      </w:tr>
      <w:tr>
        <w:tblPrEx>
          <w:tblCellMar>
            <w:top w:w="0" w:type="dxa"/>
            <w:left w:w="0" w:type="dxa"/>
            <w:bottom w:w="0" w:type="dxa"/>
            <w:right w:w="0" w:type="dxa"/>
          </w:tblCellMar>
        </w:tblPrEx>
        <w:trPr>
          <w:gridAfter w:val="1"/>
          <w:wAfter w:w="0" w:type="dxa"/>
          <w:tblCellSpacing w:w="0" w:type="dxa"/>
        </w:trPr>
        <w:tc>
          <w:tcPr>
            <w:tcW w:w="12821" w:type="dxa"/>
            <w:noWrap w:val="0"/>
            <w:vAlign w:val="center"/>
          </w:tcPr>
          <w:p>
            <w:pPr>
              <w:widowControl/>
              <w:spacing w:line="580" w:lineRule="atLeast"/>
              <w:rPr>
                <w:color w:val="222222"/>
                <w:kern w:val="0"/>
                <w:szCs w:val="21"/>
              </w:rPr>
            </w:pPr>
            <w:r>
              <w:rPr>
                <w:rFonts w:hint="eastAsia" w:ascii="宋体" w:hAnsi="宋体"/>
                <w:color w:val="222222"/>
                <w:kern w:val="0"/>
                <w:sz w:val="32"/>
                <w:szCs w:val="32"/>
              </w:rPr>
              <w:t>区财政局：</w:t>
            </w:r>
          </w:p>
          <w:p>
            <w:pPr>
              <w:widowControl/>
              <w:spacing w:line="580" w:lineRule="atLeast"/>
              <w:ind w:firstLine="640"/>
              <w:rPr>
                <w:color w:val="222222"/>
                <w:kern w:val="0"/>
                <w:szCs w:val="21"/>
              </w:rPr>
            </w:pPr>
            <w:r>
              <w:rPr>
                <w:rFonts w:hint="eastAsia" w:ascii="宋体" w:hAnsi="宋体"/>
                <w:color w:val="222222"/>
                <w:kern w:val="0"/>
                <w:sz w:val="32"/>
                <w:szCs w:val="32"/>
              </w:rPr>
              <w:t>按照区财政局关于绩效评价文件要求，现将我单位整体支出绩效评价情况报告如下：</w:t>
            </w:r>
          </w:p>
          <w:p>
            <w:pPr>
              <w:widowControl/>
              <w:spacing w:line="580" w:lineRule="atLeast"/>
              <w:ind w:firstLine="640"/>
              <w:rPr>
                <w:b/>
                <w:color w:val="222222"/>
                <w:kern w:val="0"/>
                <w:szCs w:val="21"/>
              </w:rPr>
            </w:pPr>
            <w:r>
              <w:rPr>
                <w:rFonts w:hint="eastAsia" w:ascii="宋体" w:hAnsi="宋体"/>
                <w:b/>
                <w:color w:val="222222"/>
                <w:kern w:val="0"/>
                <w:sz w:val="32"/>
                <w:szCs w:val="32"/>
              </w:rPr>
              <w:t>一、基本情况</w:t>
            </w:r>
          </w:p>
          <w:p>
            <w:pPr>
              <w:widowControl/>
              <w:spacing w:line="580" w:lineRule="atLeast"/>
              <w:ind w:firstLine="643"/>
              <w:rPr>
                <w:color w:val="222222"/>
                <w:kern w:val="0"/>
                <w:szCs w:val="21"/>
              </w:rPr>
            </w:pPr>
            <w:r>
              <w:rPr>
                <w:rFonts w:hint="eastAsia" w:ascii="宋体" w:hAnsi="宋体"/>
                <w:b/>
                <w:bCs/>
                <w:color w:val="222222"/>
                <w:kern w:val="0"/>
                <w:sz w:val="32"/>
                <w:szCs w:val="32"/>
              </w:rPr>
              <w:t>（一） 机构、人员构成</w:t>
            </w:r>
          </w:p>
          <w:p>
            <w:pPr>
              <w:ind w:firstLine="640" w:firstLineChars="200"/>
              <w:rPr>
                <w:rFonts w:hint="eastAsia" w:ascii="仿宋_GB2312" w:hAnsi="仿宋_GB2312" w:eastAsia="仿宋_GB2312" w:cs="仿宋_GB2312"/>
                <w:sz w:val="32"/>
                <w:szCs w:val="32"/>
              </w:rPr>
            </w:pPr>
            <w:r>
              <w:rPr>
                <w:rFonts w:hint="default" w:ascii="Calibri" w:hAnsi="Calibri" w:eastAsia="仿宋_GB2312" w:cs="Calibri"/>
                <w:i w:val="0"/>
                <w:iCs w:val="0"/>
                <w:caps w:val="0"/>
                <w:color w:val="333333"/>
                <w:spacing w:val="0"/>
                <w:kern w:val="0"/>
                <w:sz w:val="32"/>
                <w:szCs w:val="32"/>
                <w:shd w:val="clear" w:fill="FFFFFF"/>
                <w:lang w:val="en-US" w:eastAsia="zh-CN" w:bidi="ar"/>
              </w:rPr>
              <w:t>区城市管理和综合执法局内设9个机构：办公室、政工股、法制股、财务股、考核评价办公室、数字化信息股、行政审批服务股、城市管理工作股、后勤保障股。</w:t>
            </w:r>
            <w:r>
              <w:rPr>
                <w:rFonts w:hint="eastAsia" w:ascii="楷体" w:hAnsi="楷体" w:eastAsia="楷体" w:cs="楷体"/>
                <w:b/>
                <w:bCs/>
                <w:i w:val="0"/>
                <w:iCs w:val="0"/>
                <w:caps w:val="0"/>
                <w:color w:val="333333"/>
                <w:spacing w:val="0"/>
                <w:kern w:val="0"/>
                <w:sz w:val="36"/>
                <w:szCs w:val="36"/>
                <w:shd w:val="clear" w:fill="FFFFFF"/>
                <w:lang w:val="en-US" w:eastAsia="zh-CN" w:bidi="ar"/>
              </w:rPr>
              <w:t>　</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机关暂使用全额事业编制65名（含离退休人员管理服务编制1名），其中局长１名，副局３名。成立协调机构区城市管理委员会，局长任办公室主任，下设1、区规划执法大队核定全额拔款事业编制30名，其中大队1名，副大队1名；2、区建设房产执法大队，核定全额拔款事业编制15名，其中大队1名，副大队１名；3、区综合执法一、二、三大队核定全额拔款事业编制110名；4区环境卫生服务中心，核定全额拔款事业编制188名。内设机构不单独核算。</w:t>
            </w:r>
          </w:p>
          <w:p>
            <w:pPr>
              <w:ind w:firstLine="643" w:firstLineChars="200"/>
              <w:rPr>
                <w:rFonts w:hint="eastAsia"/>
              </w:rPr>
            </w:pPr>
            <w:r>
              <w:rPr>
                <w:rFonts w:hint="eastAsia" w:ascii="宋体" w:hAnsi="宋体"/>
                <w:b/>
                <w:bCs/>
                <w:color w:val="222222"/>
                <w:kern w:val="0"/>
                <w:sz w:val="32"/>
                <w:szCs w:val="32"/>
              </w:rPr>
              <w:t>（二） 单位主要职责</w:t>
            </w:r>
            <w:r>
              <w:rPr>
                <w:rFonts w:hint="eastAsi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pPr>
            <w:r>
              <w:rPr>
                <w:rFonts w:hint="eastAsia" w:ascii="宋体" w:hAnsi="宋体" w:cs="宋体"/>
                <w:sz w:val="32"/>
                <w:szCs w:val="32"/>
                <w:lang w:val="en-US" w:eastAsia="zh-CN"/>
              </w:rPr>
              <w:t xml:space="preserve">  </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负责本辖区内市容秩序、环境卫生等城市管理行政执法工作；履行城市管理主体责任，按照“执法重心”下移和“属地管理”原则，行使以下行政处罚权： 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2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1、行使市容环境卫生管理方面法律、法规、规章规定的行政处罚权，强制拆除不符合城市容貌标准、环境卫生标准的违法建筑物或设施；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2、行使城市规划管理方面法律、法规、规章规定在城市规划区内，未取得建设工程规划许可证和违反许可证规定进行建设的行政处罚权；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3、行使城市园林绿化管理方面法律、法规、规章规定的行行政处罚权；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4、行使市政管理方面法律、法规、规章规定行政处罚权（不含城市燃气、城市用水、城市路灯、渣土、大型户外广告的行政处罚权）；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5、行使环境保护管理方面法律、法规、规章规定的，在市区经营、作业生产超标噪声的行政处罚权；在城市人口集中区因焚烧、运输和经营餐饮等行为面产生有毒、有害气体或烟尘的行政处罚权；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6、行使工商行政管理方面法律、法规、规章规定的对无照商贩，以及有照但不按执照规定场地经营面进行店外经营、店外作业的商贩的行政处罚权，行使对违规设置户外广告中（不含大型户外广告）行为以及对影响市容的破损、残缺广告的所有者或经营者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7、行使城市公安管理方面法律、法规、规章规定的，对乱停乱放车辆，当路摆摊设点、堆物及占道作业等侵占城市道路和公共场地行为的行政处罚权；行使城区内违反烟花爆竹管理规定行为的行政处罚权；行使在城区违法违规养犬、算命等影响治安和城市管理秩序行为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8、行使住房城乡建设领域法律、法规、规章规定的全部行政处罚权；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9、行使水务管理方面法律、法规、规章规定的，向城市河道和水域倾倒废弃物和垃圾及违规取土、城市河道违法建筑物拆除等的行政处罚权；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10、行使食品药品监管方面法律、法规、规章规定的，户外公共场所食品销售和餐饮摊点无证经营，以及户外违法回收贩卖药品等的行政处罚权；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default" w:ascii="仿宋_GB2312" w:hAnsi="Calibri" w:eastAsia="仿宋_GB2312" w:cs="仿宋_GB2312"/>
                <w:i w:val="0"/>
                <w:iCs w:val="0"/>
                <w:caps w:val="0"/>
                <w:color w:val="333333"/>
                <w:spacing w:val="0"/>
                <w:kern w:val="0"/>
                <w:sz w:val="32"/>
                <w:szCs w:val="32"/>
                <w:shd w:val="clear" w:fill="FFFFFF"/>
                <w:lang w:val="en-US" w:eastAsia="zh-CN" w:bidi="ar"/>
              </w:rPr>
              <w:t>　　11、行使殡葬管理方面法律、法规、规章规定的行政处罚权。</w:t>
            </w:r>
          </w:p>
          <w:p>
            <w:pPr>
              <w:numPr>
                <w:ilvl w:val="0"/>
                <w:numId w:val="0"/>
              </w:numPr>
              <w:rPr>
                <w:rFonts w:hint="eastAsia"/>
                <w:sz w:val="32"/>
                <w:szCs w:val="32"/>
                <w:lang w:val="en-US" w:eastAsia="zh-CN"/>
              </w:rPr>
            </w:pPr>
          </w:p>
          <w:p>
            <w:pPr>
              <w:ind w:firstLine="643" w:firstLineChars="200"/>
              <w:rPr>
                <w:rFonts w:hint="eastAsia" w:ascii="宋体" w:hAnsi="宋体" w:eastAsia="宋体" w:cs="宋体"/>
                <w:sz w:val="32"/>
                <w:szCs w:val="32"/>
                <w:lang w:eastAsia="zh-CN"/>
              </w:rPr>
            </w:pPr>
            <w:r>
              <w:rPr>
                <w:rFonts w:hint="eastAsia" w:ascii="宋体" w:hAnsi="宋体" w:cs="宋体"/>
                <w:b/>
                <w:bCs/>
                <w:sz w:val="32"/>
                <w:szCs w:val="32"/>
                <w:lang w:eastAsia="zh-CN"/>
              </w:rPr>
              <w:t>二</w:t>
            </w:r>
            <w:r>
              <w:rPr>
                <w:rFonts w:hint="eastAsia" w:ascii="宋体" w:hAnsi="宋体" w:cs="宋体"/>
                <w:sz w:val="32"/>
                <w:szCs w:val="32"/>
                <w:lang w:eastAsia="zh-CN"/>
              </w:rPr>
              <w:t>、</w:t>
            </w:r>
            <w:r>
              <w:rPr>
                <w:rFonts w:hint="eastAsia" w:eastAsia="仿宋_GB2312"/>
                <w:b/>
                <w:bCs/>
                <w:kern w:val="0"/>
                <w:sz w:val="32"/>
                <w:szCs w:val="32"/>
                <w:lang w:val="en-US" w:eastAsia="zh-CN"/>
              </w:rPr>
              <w:t>2020</w:t>
            </w:r>
            <w:r>
              <w:rPr>
                <w:rFonts w:hint="eastAsia" w:eastAsia="方正小标宋_GBK"/>
                <w:bCs/>
                <w:kern w:val="0"/>
                <w:sz w:val="36"/>
                <w:szCs w:val="36"/>
              </w:rPr>
              <w:t>年度部门决算情况</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一</w:t>
            </w:r>
            <w:r>
              <w:rPr>
                <w:rFonts w:hint="eastAsia" w:hAnsi="黑体" w:cs="Times New Roman"/>
                <w:color w:val="auto"/>
                <w:sz w:val="32"/>
                <w:szCs w:val="32"/>
                <w:lang w:eastAsia="zh-CN"/>
              </w:rPr>
              <w:t>）</w:t>
            </w:r>
            <w:r>
              <w:rPr>
                <w:rFonts w:hAnsi="黑体" w:cs="Times New Roman"/>
                <w:color w:val="auto"/>
                <w:sz w:val="32"/>
                <w:szCs w:val="32"/>
              </w:rPr>
              <w:t>、收入支出决算总体情况说明</w:t>
            </w:r>
          </w:p>
          <w:p>
            <w:pPr>
              <w:pStyle w:val="4"/>
              <w:spacing w:line="60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2020</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7654.67</w:t>
            </w:r>
            <w:r>
              <w:rPr>
                <w:rFonts w:ascii="Times New Roman" w:hAnsi="Times New Roman" w:eastAsia="仿宋_GB2312" w:cs="Times New Roman"/>
                <w:color w:val="auto"/>
                <w:sz w:val="32"/>
                <w:szCs w:val="32"/>
              </w:rPr>
              <w:t>万元。与2018年相比，</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1266.3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19.82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城管环卫公共设施工程款增加</w:t>
            </w:r>
            <w:r>
              <w:rPr>
                <w:rFonts w:hint="eastAsia"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二</w:t>
            </w:r>
            <w:r>
              <w:rPr>
                <w:rFonts w:hint="eastAsia" w:hAnsi="黑体" w:cs="Times New Roman"/>
                <w:color w:val="auto"/>
                <w:sz w:val="32"/>
                <w:szCs w:val="32"/>
                <w:lang w:eastAsia="zh-CN"/>
              </w:rPr>
              <w:t>）</w:t>
            </w:r>
            <w:r>
              <w:rPr>
                <w:rFonts w:hAnsi="黑体" w:cs="Times New Roman"/>
                <w:color w:val="auto"/>
                <w:sz w:val="32"/>
                <w:szCs w:val="32"/>
              </w:rPr>
              <w:t>、收入决算情况说明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本年收入合计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7654.67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lang w:val="en-US" w:eastAsia="zh-CN"/>
              </w:rPr>
              <w:t>7400.82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96.68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%；上级补助收入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%；事业收入</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%；经营收入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%；附属单位上缴收入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253.85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3.32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%；其他收入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三</w:t>
            </w:r>
            <w:r>
              <w:rPr>
                <w:rFonts w:hint="eastAsia" w:hAnsi="黑体" w:cs="Times New Roman"/>
                <w:color w:val="auto"/>
                <w:sz w:val="32"/>
                <w:szCs w:val="32"/>
                <w:lang w:eastAsia="zh-CN"/>
              </w:rPr>
              <w:t>）</w:t>
            </w:r>
            <w:r>
              <w:rPr>
                <w:rFonts w:hAnsi="黑体" w:cs="Times New Roman"/>
                <w:color w:val="auto"/>
                <w:sz w:val="32"/>
                <w:szCs w:val="32"/>
              </w:rPr>
              <w:t>、支出决算情况说明</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本年支出合计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7557.88</w:t>
            </w:r>
            <w:r>
              <w:rPr>
                <w:rFonts w:ascii="Times New Roman" w:hAnsi="Times New Roman" w:eastAsia="仿宋_GB2312" w:cs="Times New Roman"/>
                <w:color w:val="auto"/>
                <w:sz w:val="32"/>
                <w:szCs w:val="32"/>
              </w:rPr>
              <w:t>万元，其中：</w:t>
            </w:r>
            <w:r>
              <w:rPr>
                <w:rFonts w:hint="eastAsia" w:ascii="Times New Roman" w:hAnsi="Times New Roman" w:eastAsia="仿宋_GB2312" w:cs="Times New Roman"/>
                <w:color w:val="auto"/>
                <w:sz w:val="32"/>
                <w:szCs w:val="32"/>
                <w:lang w:eastAsia="zh-CN"/>
              </w:rPr>
              <w:t>公共服务</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社会保障和就业</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商品服务</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15</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，城乡社区</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7316.2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96.8 0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住房保障</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226.18</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3.2</w:t>
            </w:r>
            <w:r>
              <w:rPr>
                <w:rFonts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四</w:t>
            </w:r>
            <w:r>
              <w:rPr>
                <w:rFonts w:hint="eastAsia" w:hAnsi="黑体" w:cs="Times New Roman"/>
                <w:color w:val="auto"/>
                <w:sz w:val="32"/>
                <w:szCs w:val="32"/>
                <w:lang w:eastAsia="zh-CN"/>
              </w:rPr>
              <w:t>）</w:t>
            </w:r>
            <w:r>
              <w:rPr>
                <w:rFonts w:hAnsi="黑体" w:cs="Times New Roman"/>
                <w:color w:val="auto"/>
                <w:sz w:val="32"/>
                <w:szCs w:val="32"/>
              </w:rPr>
              <w:t>、财政拨款收入支出决算总体情况说明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年度财政拨款收、支总计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7654.67</w:t>
            </w:r>
            <w:r>
              <w:rPr>
                <w:rFonts w:ascii="Times New Roman" w:hAnsi="Times New Roman" w:eastAsia="仿宋_GB2312" w:cs="Times New Roman"/>
                <w:color w:val="auto"/>
                <w:sz w:val="32"/>
                <w:szCs w:val="32"/>
              </w:rPr>
              <w:t>万元，与2018年相比，</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1266.3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19.82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城管环卫公共设施工程款增加</w:t>
            </w:r>
            <w:r>
              <w:rPr>
                <w:rFonts w:hint="eastAsia"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int="eastAsia" w:hAnsi="黑体" w:cs="Times New Roman"/>
                <w:color w:val="auto"/>
                <w:sz w:val="32"/>
                <w:szCs w:val="32"/>
                <w:lang w:eastAsia="zh-CN"/>
              </w:rPr>
              <w:t>（</w:t>
            </w:r>
            <w:r>
              <w:rPr>
                <w:rFonts w:hAnsi="黑体" w:cs="Times New Roman"/>
                <w:color w:val="auto"/>
                <w:sz w:val="32"/>
                <w:szCs w:val="32"/>
              </w:rPr>
              <w:t>五</w:t>
            </w:r>
            <w:r>
              <w:rPr>
                <w:rFonts w:hint="eastAsia" w:hAnsi="黑体" w:cs="Times New Roman"/>
                <w:color w:val="auto"/>
                <w:sz w:val="32"/>
                <w:szCs w:val="32"/>
                <w:lang w:eastAsia="zh-CN"/>
              </w:rPr>
              <w:t>）</w:t>
            </w:r>
            <w:r>
              <w:rPr>
                <w:rFonts w:hAnsi="黑体" w:cs="Times New Roman"/>
                <w:color w:val="auto"/>
                <w:sz w:val="32"/>
                <w:szCs w:val="32"/>
              </w:rPr>
              <w:t>、一般公共预算财政拨款支出决算情况说明</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7400.82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万元，占本年支出合计的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97.92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年相比，财政拨款支出</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1012.45</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13.68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城管环卫公共设施工程款增加</w:t>
            </w:r>
            <w:r>
              <w:rPr>
                <w:rFonts w:hint="eastAsia" w:ascii="Times New Roman" w:hAnsi="Times New Roman" w:eastAsia="仿宋_GB2312" w:cs="Times New Roman"/>
                <w:color w:val="auto"/>
                <w:sz w:val="32"/>
                <w:szCs w:val="32"/>
              </w:rPr>
              <w:t>。</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7400.82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主要用于公共服务</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社会保障和就业</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卫生健康</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0.5</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 xml:space="preserve"> 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，城乡社区</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7159.14</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96.73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住房保障</w:t>
            </w:r>
            <w:r>
              <w:rPr>
                <w:rFonts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226.18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 xml:space="preserve"> 3.06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（三）财政拨款支出决算具体情况</w:t>
            </w:r>
          </w:p>
          <w:p>
            <w:pPr>
              <w:pStyle w:val="4"/>
              <w:spacing w:line="600" w:lineRule="exact"/>
              <w:ind w:firstLine="960" w:firstLineChars="3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年度财政拨款支出年初预算数为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4777.75</w:t>
            </w:r>
            <w:r>
              <w:rPr>
                <w:rFonts w:ascii="Times New Roman" w:hAnsi="Times New Roman" w:eastAsia="仿宋_GB2312" w:cs="Times New Roman"/>
                <w:color w:val="auto"/>
                <w:sz w:val="32"/>
                <w:szCs w:val="32"/>
              </w:rPr>
              <w:t>万元，支出决算数为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7557.88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%，其中：</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1、一般公共服务（类）   （款）   （项）。</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4777.75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7557.88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年初预算经费不足</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7400.82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万元，其中：人员经费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3346.97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45.22</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%,主要包括基本工资、津贴补贴、奖金、伙食补助费；</w:t>
            </w:r>
            <w:r>
              <w:rPr>
                <w:rFonts w:hint="eastAsia" w:ascii="Times New Roman" w:hAnsi="Times New Roman" w:eastAsia="仿宋_GB2312" w:cs="Times New Roman"/>
                <w:color w:val="auto"/>
                <w:sz w:val="32"/>
                <w:szCs w:val="32"/>
                <w:lang w:eastAsia="zh-CN"/>
              </w:rPr>
              <w:t>商品服务</w:t>
            </w:r>
            <w:r>
              <w:rPr>
                <w:rFonts w:ascii="Times New Roman" w:hAnsi="Times New Roman" w:eastAsia="仿宋_GB2312" w:cs="Times New Roman"/>
                <w:color w:val="auto"/>
                <w:sz w:val="32"/>
                <w:szCs w:val="32"/>
              </w:rPr>
              <w:t>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2211.67</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29.88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%，主要包括办公费、印刷费、咨询费、手续费</w:t>
            </w:r>
            <w:r>
              <w:rPr>
                <w:rFonts w:hint="default"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eastAsia="zh-CN"/>
              </w:rPr>
              <w:t>个人家庭</w:t>
            </w:r>
            <w:r>
              <w:rPr>
                <w:rFonts w:ascii="Times New Roman" w:hAnsi="Times New Roman" w:eastAsia="仿宋_GB2312" w:cs="Times New Roman"/>
                <w:color w:val="auto"/>
                <w:sz w:val="32"/>
                <w:szCs w:val="32"/>
              </w:rPr>
              <w:t>经费</w:t>
            </w:r>
            <w:r>
              <w:rPr>
                <w:rFonts w:hint="eastAsia" w:ascii="Times New Roman" w:hAnsi="Times New Roman" w:eastAsia="仿宋_GB2312" w:cs="Times New Roman"/>
                <w:color w:val="auto"/>
                <w:sz w:val="32"/>
                <w:szCs w:val="32"/>
                <w:lang w:val="en-US" w:eastAsia="zh-CN"/>
              </w:rPr>
              <w:t>81.48</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资本性支出</w:t>
            </w:r>
            <w:r>
              <w:rPr>
                <w:rFonts w:ascii="Times New Roman" w:hAnsi="Times New Roman" w:eastAsia="仿宋_GB2312" w:cs="Times New Roman"/>
                <w:color w:val="auto"/>
                <w:sz w:val="32"/>
                <w:szCs w:val="32"/>
              </w:rPr>
              <w:t>经费</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万元，占基本支出的</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七、一般公共预算财政拨款三公经费支出决算情况说明</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“三公”经费财政拨款支出预算为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1</w:t>
            </w:r>
            <w:r>
              <w:rPr>
                <w:rFonts w:hint="eastAsia" w:ascii="Times New Roman" w:hAnsi="Times New Roman" w:eastAsia="仿宋_GB2312" w:cs="Times New Roman"/>
                <w:color w:val="auto"/>
                <w:sz w:val="32"/>
                <w:szCs w:val="32"/>
                <w:u w:val="single"/>
                <w:lang w:val="en-US" w:eastAsia="zh-CN"/>
              </w:rPr>
              <w:t>5</w:t>
            </w:r>
            <w:r>
              <w:rPr>
                <w:rFonts w:hint="default" w:ascii="Times New Roman" w:hAnsi="Times New Roman" w:eastAsia="仿宋_GB2312" w:cs="Times New Roman"/>
                <w:color w:val="auto"/>
                <w:sz w:val="32"/>
                <w:szCs w:val="32"/>
                <w:u w:val="single"/>
                <w:lang w:val="en-US"/>
              </w:rPr>
              <w:t>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万元，支出决算为  </w:t>
            </w:r>
            <w:r>
              <w:rPr>
                <w:rFonts w:hint="eastAsia" w:ascii="Times New Roman" w:hAnsi="Times New Roman" w:eastAsia="仿宋_GB2312" w:cs="Times New Roman"/>
                <w:color w:val="auto"/>
                <w:sz w:val="32"/>
                <w:szCs w:val="32"/>
                <w:lang w:val="en-US" w:eastAsia="zh-CN"/>
              </w:rPr>
              <w:t>119.03</w:t>
            </w:r>
            <w:r>
              <w:rPr>
                <w:rFonts w:ascii="Times New Roman" w:hAnsi="Times New Roman" w:eastAsia="仿宋_GB2312" w:cs="Times New Roman"/>
                <w:color w:val="auto"/>
                <w:sz w:val="32"/>
                <w:szCs w:val="32"/>
              </w:rPr>
              <w:t xml:space="preserve"> 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74.86</w:t>
            </w:r>
            <w:r>
              <w:rPr>
                <w:rFonts w:ascii="Times New Roman" w:hAnsi="Times New Roman" w:eastAsia="仿宋_GB2312" w:cs="Times New Roman"/>
                <w:color w:val="auto"/>
                <w:sz w:val="32"/>
                <w:szCs w:val="32"/>
              </w:rPr>
              <w:t>%，其中：</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因公出国（境）费支出预算为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%，决算数大于（小于）年初预算数的主要原因是……，与上年相比减少（增加）</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万元，减少（增长）</w:t>
            </w:r>
            <w:r>
              <w:rPr>
                <w:rFonts w:hint="default" w:ascii="Times New Roman" w:hAnsi="Times New Roman" w:eastAsia="仿宋_GB2312" w:cs="Times New Roman"/>
                <w:color w:val="auto"/>
                <w:sz w:val="32"/>
                <w:szCs w:val="32"/>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减少（增长）的主要原因是……。</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公务接待费支出预算</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%，决算数大于（小于）年初预算数的主要原因是……，与上年相比减少（增加）</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rPr>
              <w:t>万元，减少（增长）</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%,减少（增长）的主要原因是……。</w:t>
            </w:r>
          </w:p>
          <w:p>
            <w:pPr>
              <w:pStyle w:val="4"/>
              <w:spacing w:line="600"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公务用车购置费及运行维护费支出预算为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1</w:t>
            </w:r>
            <w:r>
              <w:rPr>
                <w:rFonts w:hint="eastAsia" w:ascii="Times New Roman" w:hAnsi="Times New Roman" w:eastAsia="仿宋_GB2312" w:cs="Times New Roman"/>
                <w:color w:val="auto"/>
                <w:sz w:val="32"/>
                <w:szCs w:val="32"/>
                <w:u w:val="single"/>
                <w:lang w:val="en-US" w:eastAsia="zh-CN"/>
              </w:rPr>
              <w:t>5</w:t>
            </w:r>
            <w:r>
              <w:rPr>
                <w:rFonts w:hint="default" w:ascii="Times New Roman" w:hAnsi="Times New Roman" w:eastAsia="仿宋_GB2312" w:cs="Times New Roman"/>
                <w:color w:val="auto"/>
                <w:sz w:val="32"/>
                <w:szCs w:val="32"/>
                <w:u w:val="single"/>
                <w:lang w:val="en-US"/>
              </w:rPr>
              <w:t>9</w:t>
            </w:r>
            <w:r>
              <w:rPr>
                <w:rFonts w:ascii="Times New Roman" w:hAnsi="Times New Roman" w:eastAsia="仿宋_GB2312" w:cs="Times New Roman"/>
                <w:color w:val="auto"/>
                <w:sz w:val="32"/>
                <w:szCs w:val="32"/>
              </w:rPr>
              <w:t>万元，支出决算为</w:t>
            </w:r>
            <w:r>
              <w:rPr>
                <w:rFonts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rPr>
              <w:t>1</w:t>
            </w:r>
            <w:r>
              <w:rPr>
                <w:rFonts w:hint="eastAsia" w:ascii="Times New Roman" w:hAnsi="Times New Roman" w:eastAsia="仿宋_GB2312" w:cs="Times New Roman"/>
                <w:color w:val="auto"/>
                <w:sz w:val="32"/>
                <w:szCs w:val="32"/>
                <w:u w:val="single"/>
                <w:lang w:val="en-US" w:eastAsia="zh-CN"/>
              </w:rPr>
              <w:t>19.03</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万元，完成预算的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74.86</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小</w:t>
            </w:r>
            <w:r>
              <w:rPr>
                <w:rFonts w:ascii="Times New Roman" w:hAnsi="Times New Roman" w:eastAsia="仿宋_GB2312" w:cs="Times New Roman"/>
                <w:color w:val="auto"/>
                <w:sz w:val="32"/>
                <w:szCs w:val="32"/>
              </w:rPr>
              <w:t>于年初预算数的主要原因是</w:t>
            </w:r>
            <w:r>
              <w:rPr>
                <w:rFonts w:hint="eastAsia" w:ascii="Times New Roman" w:hAnsi="Times New Roman" w:eastAsia="仿宋_GB2312" w:cs="Times New Roman"/>
                <w:color w:val="auto"/>
                <w:sz w:val="32"/>
                <w:szCs w:val="32"/>
                <w:lang w:eastAsia="zh-CN"/>
              </w:rPr>
              <w:t>道路承包车辆移交</w:t>
            </w:r>
            <w:r>
              <w:rPr>
                <w:rFonts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eastAsia="zh-CN"/>
              </w:rPr>
              <w:t>减少</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61.9</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46.14</w:t>
            </w:r>
            <w:r>
              <w:rPr>
                <w:rFonts w:ascii="Times New Roman" w:hAnsi="Times New Roman" w:eastAsia="仿宋_GB2312" w:cs="Times New Roman"/>
                <w:color w:val="auto"/>
                <w:sz w:val="32"/>
                <w:szCs w:val="32"/>
              </w:rPr>
              <w:t>%,减少的主要原因是</w:t>
            </w:r>
            <w:r>
              <w:rPr>
                <w:rFonts w:hint="eastAsia" w:ascii="Times New Roman" w:hAnsi="Times New Roman" w:eastAsia="仿宋_GB2312" w:cs="Times New Roman"/>
                <w:color w:val="auto"/>
                <w:sz w:val="32"/>
                <w:szCs w:val="32"/>
                <w:lang w:eastAsia="zh-CN"/>
              </w:rPr>
              <w:t>路承包车辆移交。</w:t>
            </w:r>
          </w:p>
          <w:p>
            <w:pPr>
              <w:pStyle w:val="4"/>
              <w:spacing w:line="600" w:lineRule="exact"/>
              <w:ind w:firstLine="643" w:firstLineChars="200"/>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年度“三公”经费财政拨款支出决算中，公务接待费支出决算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%,因公出国（境）费支出决算</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%,公务用车购置费及运行维护费支出决算</w:t>
            </w:r>
            <w:r>
              <w:rPr>
                <w:rFonts w:hint="eastAsia" w:ascii="Times New Roman" w:hAnsi="Times New Roman" w:eastAsia="仿宋_GB2312" w:cs="Times New Roman"/>
                <w:color w:val="auto"/>
                <w:sz w:val="32"/>
                <w:szCs w:val="32"/>
                <w:lang w:val="en-US" w:eastAsia="zh-CN"/>
              </w:rPr>
              <w:t>119.03</w:t>
            </w:r>
            <w:r>
              <w:rPr>
                <w:rFonts w:ascii="Times New Roman" w:hAnsi="Times New Roman" w:eastAsia="仿宋_GB2312" w:cs="Times New Roman"/>
                <w:color w:val="auto"/>
                <w:sz w:val="32"/>
                <w:szCs w:val="32"/>
              </w:rPr>
              <w:t>万元，占</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74.86</w:t>
            </w:r>
            <w:r>
              <w:rPr>
                <w:rFonts w:ascii="Times New Roman" w:hAnsi="Times New Roman" w:eastAsia="仿宋_GB2312" w:cs="Times New Roman"/>
                <w:color w:val="auto"/>
                <w:sz w:val="32"/>
                <w:szCs w:val="32"/>
              </w:rPr>
              <w:t>%。其中：</w:t>
            </w:r>
          </w:p>
          <w:p>
            <w:pPr>
              <w:pStyle w:val="4"/>
              <w:spacing w:line="600" w:lineRule="exact"/>
              <w:ind w:firstLine="640" w:firstLineChars="200"/>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2"/>
                <w:szCs w:val="32"/>
              </w:rPr>
              <w:t>1、因公出国（境）费支出决算为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万元，全年安排因公出国（境）团组</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个，累计</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人次,开支内容包括：</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……（活动名称）支出   万元，主要用于………（活动内容）</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……（可根据实际情况进行增减）</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2、公务接待费支出决算为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万元，全年共接待来访团组   个、来宾   人次，主要是………（活动内容）发生的接待支出。</w:t>
            </w:r>
          </w:p>
          <w:p>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3、公务用车购置费及运行维护费支出决算为</w:t>
            </w:r>
            <w:r>
              <w:rPr>
                <w:rFonts w:eastAsia="仿宋_GB2312"/>
                <w:sz w:val="32"/>
                <w:szCs w:val="32"/>
                <w:u w:val="single"/>
              </w:rPr>
              <w:t xml:space="preserve"> </w:t>
            </w:r>
            <w:r>
              <w:rPr>
                <w:rFonts w:hint="eastAsia" w:eastAsia="仿宋_GB2312"/>
                <w:sz w:val="32"/>
                <w:szCs w:val="32"/>
                <w:u w:val="single"/>
                <w:lang w:val="en-US" w:eastAsia="zh-CN"/>
              </w:rPr>
              <w:t>119.03</w:t>
            </w:r>
            <w:r>
              <w:rPr>
                <w:rFonts w:eastAsia="仿宋_GB2312"/>
                <w:sz w:val="32"/>
                <w:szCs w:val="32"/>
                <w:u w:val="single"/>
              </w:rPr>
              <w:t xml:space="preserve">  </w:t>
            </w:r>
            <w:r>
              <w:rPr>
                <w:rFonts w:eastAsia="仿宋_GB2312"/>
                <w:sz w:val="32"/>
                <w:szCs w:val="32"/>
              </w:rPr>
              <w:t>万元，其中：公务用车购置费</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   （单位本级或某二级机构）更新公务用车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辆……（可根据实际情况进行增减）。公务用车运行维护费</w:t>
            </w:r>
            <w:r>
              <w:rPr>
                <w:rFonts w:eastAsia="仿宋_GB2312"/>
                <w:sz w:val="32"/>
                <w:szCs w:val="32"/>
                <w:u w:val="single"/>
              </w:rPr>
              <w:t xml:space="preserve">  </w:t>
            </w:r>
            <w:r>
              <w:rPr>
                <w:rFonts w:hint="eastAsia" w:eastAsia="仿宋_GB2312"/>
                <w:sz w:val="32"/>
                <w:szCs w:val="32"/>
                <w:u w:val="single"/>
                <w:lang w:val="en-US" w:eastAsia="zh-CN"/>
              </w:rPr>
              <w:t>119.03</w:t>
            </w:r>
            <w:r>
              <w:rPr>
                <w:rFonts w:eastAsia="仿宋_GB2312"/>
                <w:sz w:val="32"/>
                <w:szCs w:val="32"/>
                <w:u w:val="single"/>
              </w:rPr>
              <w:t xml:space="preserve"> </w:t>
            </w:r>
            <w:r>
              <w:rPr>
                <w:rFonts w:eastAsia="仿宋_GB2312"/>
                <w:sz w:val="32"/>
                <w:szCs w:val="32"/>
              </w:rPr>
              <w:t>万元，主要是</w:t>
            </w:r>
            <w:r>
              <w:rPr>
                <w:rFonts w:hint="eastAsia" w:eastAsia="仿宋_GB2312"/>
                <w:sz w:val="32"/>
                <w:szCs w:val="32"/>
                <w:lang w:eastAsia="zh-CN"/>
              </w:rPr>
              <w:t>油费和车辆维修、保险</w:t>
            </w:r>
            <w:r>
              <w:rPr>
                <w:rFonts w:eastAsia="仿宋_GB2312"/>
                <w:sz w:val="32"/>
                <w:szCs w:val="32"/>
              </w:rPr>
              <w:t>支出，截止</w:t>
            </w:r>
            <w:r>
              <w:rPr>
                <w:rFonts w:hint="eastAsia" w:eastAsia="仿宋_GB2312"/>
                <w:sz w:val="32"/>
                <w:szCs w:val="32"/>
                <w:lang w:val="en-US" w:eastAsia="zh-CN"/>
              </w:rPr>
              <w:t>2020</w:t>
            </w:r>
            <w:r>
              <w:rPr>
                <w:rFonts w:eastAsia="仿宋_GB2312"/>
                <w:sz w:val="32"/>
                <w:szCs w:val="32"/>
              </w:rPr>
              <w:t>年 12月31日，我单位开支财政拨款的公务用车保有量为</w:t>
            </w:r>
            <w:r>
              <w:rPr>
                <w:rFonts w:eastAsia="仿宋_GB2312"/>
                <w:sz w:val="32"/>
                <w:szCs w:val="32"/>
                <w:u w:val="single"/>
              </w:rPr>
              <w:t xml:space="preserve">  </w:t>
            </w:r>
            <w:r>
              <w:rPr>
                <w:rFonts w:hint="eastAsia" w:eastAsia="仿宋_GB2312"/>
                <w:sz w:val="32"/>
                <w:szCs w:val="32"/>
                <w:u w:val="single"/>
                <w:lang w:val="en-US" w:eastAsia="zh-CN"/>
              </w:rPr>
              <w:t>74</w:t>
            </w:r>
            <w:r>
              <w:rPr>
                <w:rFonts w:eastAsia="仿宋_GB2312"/>
                <w:sz w:val="32"/>
                <w:szCs w:val="32"/>
                <w:u w:val="single"/>
              </w:rPr>
              <w:t xml:space="preserve"> </w:t>
            </w:r>
            <w:r>
              <w:rPr>
                <w:rFonts w:eastAsia="仿宋_GB2312"/>
                <w:sz w:val="32"/>
                <w:szCs w:val="32"/>
              </w:rPr>
              <w:t>辆。</w:t>
            </w:r>
            <w:r>
              <w:rPr>
                <w:rFonts w:eastAsia="仿宋_GB2312"/>
                <w:kern w:val="0"/>
                <w:sz w:val="32"/>
                <w:szCs w:val="32"/>
              </w:rPr>
              <w:t>（三公经费支出口径应在专业名词解释中予以说明）</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八、政府性基金预算收入支出决算情况</w:t>
            </w:r>
          </w:p>
          <w:p>
            <w:pPr>
              <w:pStyle w:val="4"/>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年度政府性基金预算财政拨款收入</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万元；年初结转和结余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万元，其中基本支出</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万元；年末结转和结余</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ascii="Times New Roman" w:hAnsi="Times New Roman" w:eastAsia="仿宋_GB2312" w:cs="Times New Roman"/>
                <w:color w:val="auto"/>
                <w:sz w:val="32"/>
                <w:szCs w:val="32"/>
              </w:rPr>
              <w:t>万元。（无政府性基金收支也需要说明：本单位无政府性基金收支）</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九、关于</w:t>
            </w:r>
            <w:r>
              <w:rPr>
                <w:rFonts w:hint="eastAsia" w:hAnsi="黑体" w:cs="Times New Roman"/>
                <w:color w:val="auto"/>
                <w:sz w:val="32"/>
                <w:szCs w:val="32"/>
                <w:lang w:val="en-US" w:eastAsia="zh-CN"/>
              </w:rPr>
              <w:t>2020</w:t>
            </w:r>
            <w:r>
              <w:rPr>
                <w:rFonts w:hAnsi="黑体" w:cs="Times New Roman"/>
                <w:color w:val="auto"/>
                <w:sz w:val="32"/>
                <w:szCs w:val="32"/>
              </w:rPr>
              <w:t>年度预算绩效情况说明</w:t>
            </w:r>
          </w:p>
          <w:p>
            <w:pPr>
              <w:pStyle w:val="4"/>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本部门预算绩效管理开展情况、绩效目标和绩效评价报告等……（按照财政绩效部门要求已公开或其他有关部门要求需随同部门决算一同公开的绩效信息，请作为附件公开）</w:t>
            </w:r>
          </w:p>
          <w:p>
            <w:pPr>
              <w:pStyle w:val="4"/>
              <w:spacing w:line="600" w:lineRule="exact"/>
              <w:ind w:firstLine="640" w:firstLineChars="200"/>
              <w:rPr>
                <w:rFonts w:hAnsi="黑体" w:cs="Times New Roman"/>
                <w:color w:val="auto"/>
                <w:sz w:val="32"/>
                <w:szCs w:val="32"/>
              </w:rPr>
            </w:pPr>
            <w:r>
              <w:rPr>
                <w:rFonts w:hAnsi="黑体" w:cs="Times New Roman"/>
                <w:color w:val="auto"/>
                <w:sz w:val="32"/>
                <w:szCs w:val="32"/>
              </w:rPr>
              <w:t>十、其他重要事项情况说明</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（一）机关运行经费支出情况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b/>
                <w:bCs/>
                <w:kern w:val="0"/>
                <w:sz w:val="32"/>
                <w:szCs w:val="32"/>
                <w:lang w:val="en-US" w:eastAsia="zh-CN"/>
              </w:rPr>
              <w:t>2020</w:t>
            </w:r>
            <w:r>
              <w:rPr>
                <w:rFonts w:eastAsia="仿宋_GB2312"/>
                <w:kern w:val="0"/>
                <w:sz w:val="32"/>
                <w:szCs w:val="32"/>
              </w:rPr>
              <w:t>年度机关运行经费支出</w:t>
            </w:r>
            <w:r>
              <w:rPr>
                <w:rFonts w:hint="eastAsia" w:eastAsia="仿宋_GB2312"/>
                <w:kern w:val="0"/>
                <w:sz w:val="32"/>
                <w:szCs w:val="32"/>
                <w:lang w:val="en-US" w:eastAsia="zh-CN"/>
              </w:rPr>
              <w:t>2954.46</w:t>
            </w:r>
            <w:r>
              <w:rPr>
                <w:rFonts w:eastAsia="仿宋_GB2312"/>
                <w:kern w:val="0"/>
                <w:sz w:val="32"/>
                <w:szCs w:val="32"/>
              </w:rPr>
              <w:t>万元（与部门决算中行政单位和参照公务员法管理事业单位一般公共预算财政拨款基本支出中公用经费之和保持衔接），比年初预算数增加</w:t>
            </w:r>
            <w:r>
              <w:rPr>
                <w:rFonts w:hint="eastAsia" w:eastAsia="仿宋_GB2312"/>
                <w:kern w:val="0"/>
                <w:sz w:val="32"/>
                <w:szCs w:val="32"/>
                <w:lang w:val="en-US" w:eastAsia="zh-CN"/>
              </w:rPr>
              <w:t>2818.46</w:t>
            </w:r>
            <w:r>
              <w:rPr>
                <w:rFonts w:eastAsia="仿宋_GB2312"/>
                <w:kern w:val="0"/>
                <w:sz w:val="32"/>
                <w:szCs w:val="32"/>
              </w:rPr>
              <w:t>万元，增长</w:t>
            </w:r>
            <w:r>
              <w:rPr>
                <w:rFonts w:eastAsia="仿宋_GB2312"/>
                <w:sz w:val="32"/>
                <w:szCs w:val="32"/>
                <w:u w:val="single"/>
              </w:rPr>
              <w:t xml:space="preserve"> </w:t>
            </w:r>
            <w:r>
              <w:rPr>
                <w:rFonts w:hint="eastAsia" w:eastAsia="仿宋_GB2312"/>
                <w:sz w:val="32"/>
                <w:szCs w:val="32"/>
                <w:u w:val="single"/>
                <w:lang w:val="en-US" w:eastAsia="zh-CN"/>
              </w:rPr>
              <w:t>2072</w:t>
            </w:r>
            <w:r>
              <w:rPr>
                <w:rFonts w:eastAsia="仿宋_GB2312"/>
                <w:sz w:val="32"/>
                <w:szCs w:val="32"/>
                <w:u w:val="single"/>
              </w:rPr>
              <w:t xml:space="preserve"> </w:t>
            </w:r>
            <w:r>
              <w:rPr>
                <w:rFonts w:eastAsia="仿宋_GB2312"/>
                <w:kern w:val="0"/>
                <w:sz w:val="32"/>
                <w:szCs w:val="32"/>
              </w:rPr>
              <w:t xml:space="preserve"> %。主要原因是：</w:t>
            </w:r>
            <w:r>
              <w:rPr>
                <w:rFonts w:hint="eastAsia" w:eastAsia="仿宋_GB2312"/>
                <w:kern w:val="0"/>
                <w:sz w:val="32"/>
                <w:szCs w:val="32"/>
                <w:lang w:eastAsia="zh-CN"/>
              </w:rPr>
              <w:t>预算不足</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（二）一般性支出情况</w:t>
            </w:r>
          </w:p>
          <w:p>
            <w:pPr>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2020</w:t>
            </w:r>
            <w:r>
              <w:rPr>
                <w:rFonts w:eastAsia="仿宋_GB2312"/>
                <w:kern w:val="0"/>
                <w:sz w:val="32"/>
                <w:szCs w:val="32"/>
              </w:rPr>
              <w:t>年 本部门开支会议费</w:t>
            </w:r>
            <w:r>
              <w:rPr>
                <w:rFonts w:eastAsia="仿宋_GB2312"/>
                <w:sz w:val="32"/>
                <w:szCs w:val="32"/>
                <w:u w:val="single"/>
              </w:rPr>
              <w:t xml:space="preserve"> </w:t>
            </w:r>
            <w:r>
              <w:rPr>
                <w:rFonts w:hint="eastAsia" w:eastAsia="仿宋_GB2312"/>
                <w:sz w:val="32"/>
                <w:szCs w:val="32"/>
                <w:u w:val="single"/>
                <w:lang w:val="en-US" w:eastAsia="zh-CN"/>
              </w:rPr>
              <w:t>0.44</w:t>
            </w:r>
            <w:r>
              <w:rPr>
                <w:rFonts w:eastAsia="仿宋_GB2312"/>
                <w:kern w:val="0"/>
                <w:sz w:val="32"/>
                <w:szCs w:val="32"/>
              </w:rPr>
              <w:t>万元，用于召开</w:t>
            </w:r>
            <w:r>
              <w:rPr>
                <w:rFonts w:hint="eastAsia" w:eastAsia="仿宋_GB2312"/>
                <w:kern w:val="0"/>
                <w:sz w:val="32"/>
                <w:szCs w:val="32"/>
                <w:lang w:eastAsia="zh-CN"/>
              </w:rPr>
              <w:t>党支部</w:t>
            </w:r>
            <w:r>
              <w:rPr>
                <w:rFonts w:eastAsia="仿宋_GB2312"/>
                <w:kern w:val="0"/>
                <w:sz w:val="32"/>
                <w:szCs w:val="32"/>
              </w:rPr>
              <w:t>会议</w:t>
            </w:r>
            <w:r>
              <w:rPr>
                <w:rFonts w:hint="eastAsia" w:eastAsia="仿宋_GB2312"/>
                <w:kern w:val="0"/>
                <w:sz w:val="32"/>
                <w:szCs w:val="32"/>
                <w:lang w:eastAsia="zh-CN"/>
              </w:rPr>
              <w:t>租会议场地</w:t>
            </w:r>
            <w:r>
              <w:rPr>
                <w:rFonts w:eastAsia="仿宋_GB2312"/>
                <w:kern w:val="0"/>
                <w:sz w:val="32"/>
                <w:szCs w:val="32"/>
              </w:rPr>
              <w:t>，人数</w:t>
            </w:r>
            <w:r>
              <w:rPr>
                <w:rFonts w:hint="eastAsia" w:eastAsia="仿宋_GB2312"/>
                <w:kern w:val="0"/>
                <w:sz w:val="32"/>
                <w:szCs w:val="32"/>
                <w:lang w:val="en-US" w:eastAsia="zh-CN"/>
              </w:rPr>
              <w:t>.150</w:t>
            </w:r>
            <w:r>
              <w:rPr>
                <w:rFonts w:eastAsia="仿宋_GB2312"/>
                <w:kern w:val="0"/>
                <w:sz w:val="32"/>
                <w:szCs w:val="32"/>
              </w:rPr>
              <w:t>人，内容为</w:t>
            </w:r>
            <w:r>
              <w:rPr>
                <w:rFonts w:hint="eastAsia" w:eastAsia="仿宋_GB2312"/>
                <w:kern w:val="0"/>
                <w:sz w:val="32"/>
                <w:szCs w:val="32"/>
                <w:lang w:eastAsia="zh-CN"/>
              </w:rPr>
              <w:t>学习党知识</w:t>
            </w:r>
            <w:r>
              <w:rPr>
                <w:rFonts w:eastAsia="仿宋_GB2312"/>
                <w:kern w:val="0"/>
                <w:sz w:val="32"/>
                <w:szCs w:val="32"/>
              </w:rPr>
              <w:t>；开支培训费</w:t>
            </w:r>
            <w:r>
              <w:rPr>
                <w:rFonts w:hint="eastAsia" w:eastAsia="仿宋_GB2312"/>
                <w:kern w:val="0"/>
                <w:sz w:val="32"/>
                <w:szCs w:val="32"/>
                <w:lang w:val="en-US" w:eastAsia="zh-CN"/>
              </w:rPr>
              <w:t>0</w:t>
            </w:r>
            <w:r>
              <w:rPr>
                <w:rFonts w:eastAsia="仿宋_GB2312"/>
                <w:sz w:val="32"/>
                <w:szCs w:val="32"/>
                <w:u w:val="single"/>
              </w:rPr>
              <w:t xml:space="preserve"> </w:t>
            </w:r>
            <w:r>
              <w:rPr>
                <w:rFonts w:hint="eastAsia" w:eastAsia="仿宋_GB2312"/>
                <w:sz w:val="32"/>
                <w:szCs w:val="32"/>
                <w:u w:val="single"/>
                <w:lang w:val="en-US" w:eastAsia="zh-CN"/>
              </w:rPr>
              <w:t>.55</w:t>
            </w:r>
            <w:r>
              <w:rPr>
                <w:rFonts w:eastAsia="仿宋_GB2312"/>
                <w:sz w:val="32"/>
                <w:szCs w:val="32"/>
                <w:u w:val="single"/>
              </w:rPr>
              <w:t xml:space="preserve"> </w:t>
            </w:r>
            <w:r>
              <w:rPr>
                <w:rFonts w:eastAsia="仿宋_GB2312"/>
                <w:kern w:val="0"/>
                <w:sz w:val="32"/>
                <w:szCs w:val="32"/>
              </w:rPr>
              <w:t>万元，用于开展</w:t>
            </w:r>
            <w:r>
              <w:rPr>
                <w:rFonts w:hint="eastAsia" w:eastAsia="仿宋_GB2312"/>
                <w:kern w:val="0"/>
                <w:sz w:val="32"/>
                <w:szCs w:val="32"/>
                <w:lang w:eastAsia="zh-CN"/>
              </w:rPr>
              <w:t>城市执法</w:t>
            </w:r>
            <w:r>
              <w:rPr>
                <w:rFonts w:eastAsia="仿宋_GB2312"/>
                <w:kern w:val="0"/>
                <w:sz w:val="32"/>
                <w:szCs w:val="32"/>
              </w:rPr>
              <w:t>培训，人数</w:t>
            </w:r>
            <w:r>
              <w:rPr>
                <w:rFonts w:hint="eastAsia" w:eastAsia="仿宋_GB2312"/>
                <w:kern w:val="0"/>
                <w:sz w:val="32"/>
                <w:szCs w:val="32"/>
                <w:lang w:val="en-US" w:eastAsia="zh-CN"/>
              </w:rPr>
              <w:t>11</w:t>
            </w:r>
            <w:r>
              <w:rPr>
                <w:rFonts w:eastAsia="仿宋_GB2312"/>
                <w:kern w:val="0"/>
                <w:sz w:val="32"/>
                <w:szCs w:val="32"/>
              </w:rPr>
              <w:t>人，内容为</w:t>
            </w:r>
            <w:r>
              <w:rPr>
                <w:rFonts w:hint="eastAsia" w:eastAsia="仿宋_GB2312"/>
                <w:kern w:val="0"/>
                <w:sz w:val="32"/>
                <w:szCs w:val="32"/>
                <w:lang w:eastAsia="zh-CN"/>
              </w:rPr>
              <w:t>城市执法</w:t>
            </w:r>
            <w:r>
              <w:rPr>
                <w:rFonts w:eastAsia="仿宋_GB2312"/>
                <w:kern w:val="0"/>
                <w:sz w:val="32"/>
                <w:szCs w:val="32"/>
              </w:rPr>
              <w:t>；举办节庆、晚会、论坛、赛事活动，开支</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（三）政府采购支出情况</w:t>
            </w:r>
          </w:p>
          <w:p>
            <w:pPr>
              <w:spacing w:line="600" w:lineRule="exact"/>
              <w:ind w:firstLine="640" w:firstLineChars="200"/>
              <w:rPr>
                <w:rFonts w:eastAsia="仿宋_GB2312"/>
                <w:kern w:val="0"/>
                <w:sz w:val="32"/>
                <w:szCs w:val="32"/>
              </w:rPr>
            </w:pPr>
            <w:r>
              <w:rPr>
                <w:rFonts w:eastAsia="仿宋_GB2312"/>
                <w:kern w:val="0"/>
                <w:sz w:val="32"/>
                <w:szCs w:val="32"/>
              </w:rPr>
              <w:t>本部门</w:t>
            </w:r>
            <w:r>
              <w:rPr>
                <w:rFonts w:hint="eastAsia" w:eastAsia="仿宋_GB2312"/>
                <w:kern w:val="0"/>
                <w:sz w:val="32"/>
                <w:szCs w:val="32"/>
                <w:lang w:val="en-US" w:eastAsia="zh-CN"/>
              </w:rPr>
              <w:t>2020</w:t>
            </w:r>
            <w:r>
              <w:rPr>
                <w:rFonts w:eastAsia="仿宋_GB2312"/>
                <w:kern w:val="0"/>
                <w:sz w:val="32"/>
                <w:szCs w:val="32"/>
              </w:rPr>
              <w:t>年度政府采购支出总额</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万元，其中：政府采购货物支出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万元、政府采购工程支出</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万元、政府采购服务支出</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万元。授予中小企业合同金额</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万元，占政府采购支出总额的</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 xml:space="preserve"> %，其中：授予小微企业合同金额</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万元，占政府采购支出总额的</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 xml:space="preserve"> %。（政府采购金额的计算口径为：本部门纳入</w:t>
            </w:r>
            <w:r>
              <w:rPr>
                <w:rFonts w:hint="eastAsia" w:eastAsia="仿宋_GB2312"/>
                <w:kern w:val="0"/>
                <w:sz w:val="32"/>
                <w:szCs w:val="32"/>
                <w:lang w:val="en-US" w:eastAsia="zh-CN"/>
              </w:rPr>
              <w:t>2019</w:t>
            </w:r>
            <w:r>
              <w:rPr>
                <w:rFonts w:eastAsia="仿宋_GB2312"/>
                <w:kern w:val="0"/>
                <w:sz w:val="32"/>
                <w:szCs w:val="32"/>
              </w:rPr>
              <w:t>年 度部门预算范围的各项政府采购支出金额之和，不包括涉密采购项目的支出金额）</w:t>
            </w:r>
          </w:p>
          <w:p>
            <w:pPr>
              <w:spacing w:line="60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（四）国有资产占用情况</w:t>
            </w:r>
          </w:p>
          <w:p>
            <w:pPr>
              <w:spacing w:line="600" w:lineRule="exact"/>
              <w:ind w:firstLine="640" w:firstLineChars="200"/>
              <w:rPr>
                <w:rFonts w:eastAsia="仿宋_GB2312"/>
                <w:kern w:val="0"/>
                <w:sz w:val="32"/>
                <w:szCs w:val="32"/>
              </w:rPr>
            </w:pPr>
            <w:r>
              <w:rPr>
                <w:rFonts w:eastAsia="仿宋_GB2312"/>
                <w:kern w:val="0"/>
                <w:sz w:val="32"/>
                <w:szCs w:val="32"/>
              </w:rPr>
              <w:t>截至</w:t>
            </w:r>
            <w:r>
              <w:rPr>
                <w:rFonts w:hint="eastAsia" w:eastAsia="仿宋_GB2312"/>
                <w:kern w:val="0"/>
                <w:sz w:val="32"/>
                <w:szCs w:val="32"/>
                <w:lang w:val="en-US" w:eastAsia="zh-CN"/>
              </w:rPr>
              <w:t>2019</w:t>
            </w:r>
            <w:r>
              <w:rPr>
                <w:rFonts w:eastAsia="仿宋_GB2312"/>
                <w:kern w:val="0"/>
                <w:sz w:val="32"/>
                <w:szCs w:val="32"/>
              </w:rPr>
              <w:t>年12月31日，本单位共有车辆</w:t>
            </w:r>
            <w:r>
              <w:rPr>
                <w:rFonts w:eastAsia="仿宋_GB2312"/>
                <w:sz w:val="32"/>
                <w:szCs w:val="32"/>
                <w:u w:val="single"/>
              </w:rPr>
              <w:t xml:space="preserve"> </w:t>
            </w:r>
            <w:r>
              <w:rPr>
                <w:rFonts w:hint="eastAsia" w:eastAsia="仿宋_GB2312"/>
                <w:sz w:val="32"/>
                <w:szCs w:val="32"/>
                <w:u w:val="single"/>
                <w:lang w:val="en-US" w:eastAsia="zh-CN"/>
              </w:rPr>
              <w:t>74</w:t>
            </w:r>
            <w:r>
              <w:rPr>
                <w:rFonts w:eastAsia="仿宋_GB2312"/>
                <w:sz w:val="32"/>
                <w:szCs w:val="32"/>
                <w:u w:val="single"/>
              </w:rPr>
              <w:t xml:space="preserve"> </w:t>
            </w:r>
            <w:r>
              <w:rPr>
                <w:rFonts w:eastAsia="仿宋_GB2312"/>
                <w:kern w:val="0"/>
                <w:sz w:val="32"/>
                <w:szCs w:val="32"/>
              </w:rPr>
              <w:t>辆，其中，领导干部用车</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辆、机要通信用车</w:t>
            </w:r>
            <w:r>
              <w:rPr>
                <w:rFonts w:hint="eastAsia" w:eastAsia="仿宋_GB2312"/>
                <w:kern w:val="0"/>
                <w:sz w:val="32"/>
                <w:szCs w:val="32"/>
                <w:lang w:val="en-US" w:eastAsia="zh-CN"/>
              </w:rPr>
              <w:t>0</w:t>
            </w:r>
            <w:r>
              <w:rPr>
                <w:rFonts w:eastAsia="仿宋_GB2312"/>
                <w:sz w:val="32"/>
                <w:szCs w:val="32"/>
                <w:u w:val="single"/>
              </w:rPr>
              <w:t xml:space="preserve">   </w:t>
            </w:r>
            <w:r>
              <w:rPr>
                <w:rFonts w:eastAsia="仿宋_GB2312"/>
                <w:kern w:val="0"/>
                <w:sz w:val="32"/>
                <w:szCs w:val="32"/>
              </w:rPr>
              <w:t>辆、应急保障用车</w:t>
            </w:r>
            <w:r>
              <w:rPr>
                <w:rFonts w:eastAsia="仿宋_GB2312"/>
                <w:sz w:val="32"/>
                <w:szCs w:val="32"/>
                <w:u w:val="single"/>
              </w:rPr>
              <w:t xml:space="preserve">   </w:t>
            </w:r>
            <w:r>
              <w:rPr>
                <w:rFonts w:eastAsia="仿宋_GB2312"/>
                <w:kern w:val="0"/>
                <w:sz w:val="32"/>
                <w:szCs w:val="32"/>
              </w:rPr>
              <w:t>辆、执法执勤用车</w:t>
            </w:r>
            <w:r>
              <w:rPr>
                <w:rFonts w:eastAsia="仿宋_GB2312"/>
                <w:sz w:val="32"/>
                <w:szCs w:val="32"/>
                <w:u w:val="single"/>
              </w:rPr>
              <w:t xml:space="preserve"> </w:t>
            </w:r>
            <w:r>
              <w:rPr>
                <w:rFonts w:hint="eastAsia" w:eastAsia="仿宋_GB2312"/>
                <w:sz w:val="32"/>
                <w:szCs w:val="32"/>
                <w:u w:val="single"/>
                <w:lang w:val="en-US" w:eastAsia="zh-CN"/>
              </w:rPr>
              <w:t>6</w:t>
            </w:r>
            <w:r>
              <w:rPr>
                <w:rFonts w:eastAsia="仿宋_GB2312"/>
                <w:sz w:val="32"/>
                <w:szCs w:val="32"/>
                <w:u w:val="single"/>
              </w:rPr>
              <w:t xml:space="preserve">  </w:t>
            </w:r>
            <w:r>
              <w:rPr>
                <w:rFonts w:eastAsia="仿宋_GB2312"/>
                <w:kern w:val="0"/>
                <w:sz w:val="32"/>
                <w:szCs w:val="32"/>
              </w:rPr>
              <w:t>辆、其他用车</w:t>
            </w:r>
            <w:r>
              <w:rPr>
                <w:rFonts w:eastAsia="仿宋_GB2312"/>
                <w:sz w:val="32"/>
                <w:szCs w:val="32"/>
                <w:u w:val="single"/>
              </w:rPr>
              <w:t xml:space="preserve"> </w:t>
            </w:r>
            <w:r>
              <w:rPr>
                <w:rFonts w:hint="eastAsia" w:eastAsia="仿宋_GB2312"/>
                <w:sz w:val="32"/>
                <w:szCs w:val="32"/>
                <w:u w:val="single"/>
                <w:lang w:val="en-US" w:eastAsia="zh-CN"/>
              </w:rPr>
              <w:t>68</w:t>
            </w:r>
            <w:r>
              <w:rPr>
                <w:rFonts w:eastAsia="仿宋_GB2312"/>
                <w:sz w:val="32"/>
                <w:szCs w:val="32"/>
                <w:u w:val="single"/>
              </w:rPr>
              <w:t xml:space="preserve">  </w:t>
            </w:r>
            <w:r>
              <w:rPr>
                <w:rFonts w:eastAsia="仿宋_GB2312"/>
                <w:kern w:val="0"/>
                <w:sz w:val="32"/>
                <w:szCs w:val="32"/>
              </w:rPr>
              <w:t>辆，其他用车主要是……；单位价值50万元以上通用设备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台（套）；单位价值100万元以上专用设备</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台（套）。</w:t>
            </w:r>
          </w:p>
          <w:p>
            <w:pPr>
              <w:ind w:firstLine="505" w:firstLineChars="158"/>
              <w:rPr>
                <w:rFonts w:ascii="宋体" w:hAnsi="宋体" w:cs="微软雅黑"/>
                <w:color w:val="222222"/>
                <w:kern w:val="0"/>
                <w:sz w:val="32"/>
                <w:szCs w:val="21"/>
              </w:rPr>
            </w:pPr>
          </w:p>
          <w:p>
            <w:pPr>
              <w:widowControl/>
              <w:spacing w:line="580" w:lineRule="atLeast"/>
              <w:ind w:firstLine="640"/>
              <w:rPr>
                <w:rFonts w:hint="eastAsia" w:ascii="宋体" w:hAnsi="宋体"/>
                <w:b/>
                <w:bCs/>
                <w:color w:val="222222"/>
                <w:kern w:val="0"/>
                <w:sz w:val="32"/>
                <w:szCs w:val="32"/>
              </w:rPr>
            </w:pPr>
            <w:r>
              <w:rPr>
                <w:rFonts w:hint="eastAsia" w:ascii="宋体" w:hAnsi="宋体"/>
                <w:color w:val="222222"/>
                <w:kern w:val="0"/>
                <w:sz w:val="32"/>
                <w:szCs w:val="32"/>
              </w:rPr>
              <w:t>三、</w:t>
            </w:r>
            <w:r>
              <w:rPr>
                <w:rFonts w:hint="eastAsia" w:ascii="宋体" w:hAnsi="宋体"/>
                <w:b/>
                <w:bCs/>
                <w:color w:val="222222"/>
                <w:kern w:val="0"/>
                <w:sz w:val="32"/>
                <w:szCs w:val="32"/>
              </w:rPr>
              <w:t>部门整体支出管理</w:t>
            </w:r>
          </w:p>
          <w:p>
            <w:pPr>
              <w:widowControl/>
              <w:spacing w:line="580" w:lineRule="atLeast"/>
              <w:ind w:firstLine="640"/>
              <w:rPr>
                <w:rFonts w:ascii="宋体" w:hAnsi="宋体"/>
                <w:bCs/>
                <w:color w:val="222222"/>
                <w:kern w:val="0"/>
                <w:sz w:val="32"/>
                <w:szCs w:val="32"/>
              </w:rPr>
            </w:pPr>
            <w:r>
              <w:rPr>
                <w:rFonts w:hint="eastAsia" w:ascii="宋体" w:hAnsi="宋体"/>
                <w:bCs/>
                <w:color w:val="222222"/>
                <w:kern w:val="0"/>
                <w:sz w:val="32"/>
                <w:szCs w:val="32"/>
              </w:rPr>
              <w:t>政府办建立健全的财务管理制度，会计核算制度，励行节约制度，相关管理制度合法、合规、完整，并严格按照制度办理财务业务。</w:t>
            </w:r>
          </w:p>
          <w:p>
            <w:pPr>
              <w:ind w:firstLine="442" w:firstLineChars="158"/>
              <w:rPr>
                <w:b/>
                <w:color w:val="222222"/>
                <w:kern w:val="0"/>
                <w:szCs w:val="21"/>
              </w:rPr>
            </w:pPr>
            <w:r>
              <w:rPr>
                <w:rFonts w:hint="eastAsia" w:ascii="宋体" w:hAnsi="宋体" w:eastAsia="楷体_GB2312"/>
                <w:color w:val="222222"/>
                <w:kern w:val="0"/>
                <w:sz w:val="28"/>
                <w:szCs w:val="28"/>
              </w:rPr>
              <w:t>　</w:t>
            </w:r>
            <w:r>
              <w:rPr>
                <w:rFonts w:hint="eastAsia" w:ascii="宋体" w:hAnsi="宋体" w:eastAsia="楷体_GB2312"/>
                <w:color w:val="222222"/>
                <w:kern w:val="0"/>
                <w:sz w:val="28"/>
                <w:szCs w:val="28"/>
                <w:lang w:eastAsia="zh-CN"/>
              </w:rPr>
              <w:t>四</w:t>
            </w:r>
            <w:r>
              <w:rPr>
                <w:rFonts w:hint="eastAsia" w:ascii="宋体" w:hAnsi="宋体"/>
                <w:b/>
                <w:color w:val="222222"/>
                <w:kern w:val="0"/>
                <w:sz w:val="32"/>
                <w:szCs w:val="32"/>
              </w:rPr>
              <w:t>、存在的主要问题</w:t>
            </w:r>
          </w:p>
          <w:p>
            <w:pPr>
              <w:spacing w:line="580" w:lineRule="atLeast"/>
              <w:ind w:firstLine="643"/>
              <w:rPr>
                <w:rFonts w:hint="eastAsia" w:ascii="宋体" w:hAnsi="宋体" w:cs="微软雅黑"/>
                <w:color w:val="222222"/>
                <w:kern w:val="0"/>
                <w:sz w:val="32"/>
                <w:szCs w:val="32"/>
              </w:rPr>
            </w:pPr>
            <w:r>
              <w:rPr>
                <w:rFonts w:hint="eastAsia" w:ascii="宋体" w:hAnsi="宋体"/>
                <w:color w:val="222222"/>
                <w:kern w:val="0"/>
                <w:sz w:val="32"/>
                <w:szCs w:val="32"/>
              </w:rPr>
              <w:t>1.对项目资金的帐务处理不太规范，预算批</w:t>
            </w:r>
            <w:r>
              <w:rPr>
                <w:rFonts w:hint="eastAsia" w:ascii="宋体" w:hAnsi="宋体" w:cs="微软雅黑"/>
                <w:color w:val="222222"/>
                <w:kern w:val="0"/>
                <w:sz w:val="32"/>
                <w:szCs w:val="32"/>
              </w:rPr>
              <w:t>复中的项目资金虽已按照批复专款专用，但在帐务处理时没有区分项目支出和基本支出，统一核算。</w:t>
            </w:r>
          </w:p>
          <w:p>
            <w:pPr>
              <w:spacing w:line="580" w:lineRule="atLeast"/>
              <w:ind w:firstLine="643"/>
              <w:rPr>
                <w:rFonts w:ascii="宋体" w:hAnsi="宋体"/>
                <w:color w:val="222222"/>
                <w:kern w:val="0"/>
                <w:sz w:val="32"/>
                <w:szCs w:val="21"/>
              </w:rPr>
            </w:pPr>
            <w:r>
              <w:rPr>
                <w:rFonts w:hint="eastAsia" w:ascii="宋体" w:hAnsi="宋体" w:cs="微软雅黑"/>
                <w:color w:val="222222"/>
                <w:kern w:val="0"/>
                <w:sz w:val="32"/>
                <w:szCs w:val="32"/>
              </w:rPr>
              <w:t>2.预算编制工作有待细化，在年初预算时，项目资金的经济分类科目没有按支出分配好。</w:t>
            </w:r>
            <w:r>
              <w:rPr>
                <w:rFonts w:hint="eastAsia" w:ascii="宋体" w:hAnsi="宋体"/>
                <w:color w:val="222222"/>
                <w:kern w:val="0"/>
                <w:sz w:val="32"/>
                <w:szCs w:val="32"/>
              </w:rPr>
              <w:t xml:space="preserve"> </w:t>
            </w:r>
          </w:p>
          <w:p>
            <w:pPr>
              <w:spacing w:line="580" w:lineRule="atLeast"/>
              <w:ind w:firstLine="643"/>
              <w:rPr>
                <w:rFonts w:ascii="宋体" w:hAnsi="宋体"/>
                <w:b/>
                <w:color w:val="222222"/>
                <w:kern w:val="0"/>
                <w:sz w:val="32"/>
                <w:szCs w:val="21"/>
              </w:rPr>
            </w:pPr>
            <w:r>
              <w:rPr>
                <w:rFonts w:hint="eastAsia" w:ascii="宋体" w:hAnsi="宋体"/>
                <w:b/>
                <w:color w:val="222222"/>
                <w:kern w:val="0"/>
                <w:sz w:val="32"/>
                <w:szCs w:val="32"/>
                <w:lang w:eastAsia="zh-CN"/>
              </w:rPr>
              <w:t>五</w:t>
            </w:r>
            <w:r>
              <w:rPr>
                <w:rFonts w:hint="eastAsia" w:ascii="宋体" w:hAnsi="宋体"/>
                <w:b/>
                <w:color w:val="222222"/>
                <w:kern w:val="0"/>
                <w:sz w:val="32"/>
                <w:szCs w:val="32"/>
              </w:rPr>
              <w:t>、改进措施和有关建议</w:t>
            </w:r>
          </w:p>
          <w:p>
            <w:pPr>
              <w:widowControl/>
              <w:spacing w:line="580" w:lineRule="atLeast"/>
              <w:ind w:firstLine="640"/>
              <w:rPr>
                <w:color w:val="222222"/>
                <w:kern w:val="0"/>
                <w:szCs w:val="21"/>
              </w:rPr>
            </w:pPr>
            <w:r>
              <w:rPr>
                <w:rFonts w:hint="eastAsia" w:ascii="宋体" w:hAnsi="宋体"/>
                <w:color w:val="222222"/>
                <w:kern w:val="0"/>
                <w:sz w:val="32"/>
                <w:szCs w:val="32"/>
              </w:rPr>
              <w:t>针对上述存在的问题及我办整体支出管理工作的需要，拟实施的改进措施如下：</w:t>
            </w:r>
          </w:p>
          <w:p>
            <w:pPr>
              <w:widowControl/>
              <w:spacing w:line="580" w:lineRule="atLeast"/>
              <w:ind w:firstLine="640"/>
              <w:rPr>
                <w:rFonts w:hint="eastAsia" w:ascii="宋体" w:hAnsi="宋体"/>
                <w:color w:val="222222"/>
                <w:kern w:val="0"/>
                <w:sz w:val="32"/>
                <w:szCs w:val="32"/>
              </w:rPr>
            </w:pPr>
            <w:r>
              <w:rPr>
                <w:rFonts w:hint="eastAsia" w:ascii="宋体" w:hAnsi="宋体"/>
                <w:color w:val="222222"/>
                <w:kern w:val="0"/>
                <w:sz w:val="32"/>
                <w:szCs w:val="32"/>
              </w:rPr>
              <w:t>1. 细化预算编制工作</w:t>
            </w:r>
            <w:bookmarkStart w:id="0" w:name="_GoBack"/>
            <w:bookmarkEnd w:id="0"/>
            <w:r>
              <w:rPr>
                <w:rFonts w:hint="eastAsia" w:ascii="宋体" w:hAnsi="宋体"/>
                <w:color w:val="222222"/>
                <w:kern w:val="0"/>
                <w:sz w:val="32"/>
                <w:szCs w:val="32"/>
              </w:rPr>
              <w:t>，认真做好预算的编制。进一步加强我办内部机构各办的预算管理意识，严格按照预算编制的相关制度和要求进行预算编制</w:t>
            </w:r>
          </w:p>
          <w:p>
            <w:pPr>
              <w:widowControl/>
              <w:spacing w:line="580" w:lineRule="atLeast"/>
              <w:ind w:firstLine="640"/>
              <w:rPr>
                <w:rFonts w:ascii="微软雅黑" w:hAnsi="微软雅黑" w:eastAsia="微软雅黑" w:cs="微软雅黑"/>
                <w:color w:val="222222"/>
                <w:kern w:val="0"/>
                <w:szCs w:val="21"/>
              </w:rPr>
            </w:pPr>
            <w:r>
              <w:rPr>
                <w:rFonts w:hint="eastAsia" w:ascii="宋体" w:hAnsi="宋体"/>
                <w:color w:val="222222"/>
                <w:kern w:val="0"/>
                <w:sz w:val="32"/>
                <w:szCs w:val="32"/>
              </w:rPr>
              <w:t>2. 加强财务管理，严格财务审核。在费用报账支付时，按照预算规定的费用项目和用途进行财务核算，</w:t>
            </w:r>
            <w:r>
              <w:rPr>
                <w:rFonts w:hint="eastAsia" w:ascii="宋体" w:hAnsi="宋体" w:cs="微软雅黑"/>
                <w:color w:val="222222"/>
                <w:kern w:val="0"/>
                <w:sz w:val="32"/>
                <w:szCs w:val="32"/>
              </w:rPr>
              <w:t>分门别类做支出</w:t>
            </w:r>
            <w:r>
              <w:rPr>
                <w:rFonts w:hint="eastAsia" w:ascii="微软雅黑" w:hAnsi="微软雅黑" w:eastAsia="微软雅黑" w:cs="微软雅黑"/>
                <w:color w:val="222222"/>
                <w:kern w:val="0"/>
                <w:sz w:val="32"/>
                <w:szCs w:val="32"/>
              </w:rPr>
              <w:t>。</w:t>
            </w:r>
          </w:p>
          <w:p>
            <w:pPr>
              <w:widowControl/>
              <w:spacing w:line="580" w:lineRule="atLeast"/>
              <w:ind w:firstLine="640"/>
              <w:rPr>
                <w:rFonts w:hint="eastAsia" w:ascii="宋体" w:hAnsi="宋体"/>
                <w:color w:val="222222"/>
                <w:kern w:val="0"/>
                <w:sz w:val="32"/>
                <w:szCs w:val="32"/>
              </w:rPr>
            </w:pPr>
            <w:r>
              <w:rPr>
                <w:rFonts w:hint="eastAsia" w:ascii="宋体" w:hAnsi="宋体"/>
                <w:color w:val="222222"/>
                <w:kern w:val="0"/>
                <w:sz w:val="32"/>
                <w:szCs w:val="32"/>
              </w:rPr>
              <w:t>3．持续抓好“三公”经费控制管理。严格控制“三公”经费的规模和比例，严把“三公”经费支出的审核、审批，杜绝挪用和挤占其他预算资金行为</w:t>
            </w:r>
            <w:r>
              <w:rPr>
                <w:rFonts w:hint="eastAsia" w:ascii="宋体" w:hAnsi="宋体"/>
                <w:color w:val="222222"/>
                <w:kern w:val="0"/>
                <w:sz w:val="32"/>
                <w:szCs w:val="32"/>
                <w:lang w:eastAsia="zh-CN"/>
              </w:rPr>
              <w:t>。</w:t>
            </w:r>
          </w:p>
          <w:p>
            <w:pPr>
              <w:widowControl/>
              <w:spacing w:line="580" w:lineRule="atLeast"/>
              <w:ind w:firstLine="640"/>
              <w:rPr>
                <w:color w:val="222222"/>
                <w:kern w:val="0"/>
                <w:szCs w:val="21"/>
              </w:rPr>
            </w:pPr>
            <w:r>
              <w:rPr>
                <w:color w:val="222222"/>
                <w:kern w:val="0"/>
                <w:szCs w:val="21"/>
              </w:rPr>
              <w:t> </w:t>
            </w:r>
          </w:p>
          <w:p>
            <w:pPr>
              <w:widowControl/>
              <w:spacing w:line="580" w:lineRule="atLeast"/>
              <w:ind w:firstLine="640"/>
              <w:rPr>
                <w:color w:val="222222"/>
                <w:kern w:val="0"/>
                <w:szCs w:val="21"/>
              </w:rPr>
            </w:pPr>
            <w:r>
              <w:rPr>
                <w:rFonts w:hint="eastAsia" w:ascii="宋体" w:hAnsi="宋体"/>
                <w:color w:val="222222"/>
                <w:kern w:val="0"/>
                <w:sz w:val="32"/>
                <w:szCs w:val="32"/>
              </w:rPr>
              <w:t>                    </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Y3ZGM0OWUyNDcyNTM1NWYxZDE4MmQ3NjQ2YWEifQ=="/>
  </w:docVars>
  <w:rsids>
    <w:rsidRoot w:val="00000000"/>
    <w:rsid w:val="21894E00"/>
    <w:rsid w:val="3937697E"/>
    <w:rsid w:val="4B6E1D5F"/>
    <w:rsid w:val="5A76224C"/>
    <w:rsid w:val="6F624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1656</Words>
  <Characters>1784</Characters>
  <Lines>0</Lines>
  <Paragraphs>0</Paragraphs>
  <TotalTime>2</TotalTime>
  <ScaleCrop>false</ScaleCrop>
  <LinksUpToDate>false</LinksUpToDate>
  <CharactersWithSpaces>1846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2022-06-24T09:02:00Z</dcterms:created>
  <dc:creator>Administrator</dc:creator>
  <cp:lastModifiedBy>狂风暴雨</cp:lastModifiedBy>
  <dcterms:modified xsi:type="dcterms:W3CDTF">2022-06-29T02:23:46Z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A0FC1B3CDC774B0C8494AA7FFF5B338B</vt:lpwstr>
  </property>
</Properties>
</file>