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ind w:firstLine="0" w:firstLineChars="0"/>
        <w:contextualSpacing/>
        <w:jc w:val="center"/>
        <w:textAlignment w:val="auto"/>
        <w:rPr>
          <w:rFonts w:hint="eastAsia" w:ascii="方正小标宋简体" w:hAnsi="方正小标宋简体" w:eastAsia="方正小标宋简体" w:cs="方正小标宋简体"/>
          <w:b w:val="0"/>
          <w:bCs/>
          <w:color w:val="000000" w:themeColor="text1"/>
          <w:sz w:val="56"/>
          <w:szCs w:val="56"/>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56"/>
          <w:szCs w:val="56"/>
          <w:lang w:val="en-US" w:eastAsia="zh-CN"/>
          <w14:textFill>
            <w14:solidFill>
              <w14:schemeClr w14:val="tx1"/>
            </w14:solidFill>
          </w14:textFill>
        </w:rPr>
        <w:t xml:space="preserve"> </w:t>
      </w:r>
    </w:p>
    <w:p>
      <w:pPr>
        <w:pageBreakBefore w:val="0"/>
        <w:kinsoku/>
        <w:wordWrap/>
        <w:overflowPunct/>
        <w:topLinePunct w:val="0"/>
        <w:bidi w:val="0"/>
        <w:spacing w:line="240" w:lineRule="auto"/>
        <w:ind w:firstLine="0" w:firstLineChars="0"/>
        <w:contextualSpacing/>
        <w:jc w:val="center"/>
        <w:textAlignment w:val="auto"/>
        <w:rPr>
          <w:rFonts w:hint="eastAsia" w:ascii="方正小标宋简体" w:hAnsi="方正小标宋简体" w:eastAsia="方正小标宋简体" w:cs="方正小标宋简体"/>
          <w:b w:val="0"/>
          <w:bCs/>
          <w:color w:val="000000" w:themeColor="text1"/>
          <w:sz w:val="56"/>
          <w:szCs w:val="56"/>
          <w:lang w:val="en-US" w:eastAsia="zh-CN"/>
          <w14:textFill>
            <w14:solidFill>
              <w14:schemeClr w14:val="tx1"/>
            </w14:solidFill>
          </w14:textFill>
        </w:rPr>
      </w:pPr>
    </w:p>
    <w:p>
      <w:pPr>
        <w:pageBreakBefore w:val="0"/>
        <w:kinsoku/>
        <w:wordWrap/>
        <w:overflowPunct/>
        <w:topLinePunct w:val="0"/>
        <w:bidi w:val="0"/>
        <w:spacing w:line="240" w:lineRule="auto"/>
        <w:ind w:firstLine="0" w:firstLineChars="0"/>
        <w:contextualSpacing/>
        <w:jc w:val="center"/>
        <w:textAlignment w:val="auto"/>
        <w:outlineLvl w:val="0"/>
        <w:rPr>
          <w:rFonts w:hint="eastAsia" w:ascii="方正小标宋简体" w:hAnsi="方正小标宋简体" w:eastAsia="方正小标宋简体" w:cs="方正小标宋简体"/>
          <w:b w:val="0"/>
          <w:bCs/>
          <w:color w:val="000000" w:themeColor="text1"/>
          <w:sz w:val="56"/>
          <w:szCs w:val="56"/>
          <w:lang w:val="en-US" w:eastAsia="zh-CN"/>
          <w14:textFill>
            <w14:solidFill>
              <w14:schemeClr w14:val="tx1"/>
            </w14:solidFill>
          </w14:textFill>
        </w:rPr>
      </w:pPr>
      <w:bookmarkStart w:id="0" w:name="_Toc21653"/>
      <w:bookmarkStart w:id="1" w:name="_Toc21283"/>
      <w:bookmarkStart w:id="2" w:name="_Toc827"/>
      <w:bookmarkStart w:id="3" w:name="_Toc5626"/>
      <w:bookmarkStart w:id="4" w:name="_Toc14466"/>
      <w:bookmarkStart w:id="5" w:name="_Toc16414"/>
      <w:bookmarkStart w:id="6" w:name="_Toc4276"/>
      <w:bookmarkStart w:id="7" w:name="_Toc28944"/>
      <w:bookmarkStart w:id="8" w:name="_Toc10962"/>
      <w:bookmarkStart w:id="9" w:name="_Toc19201"/>
      <w:r>
        <w:rPr>
          <w:rFonts w:hint="eastAsia" w:ascii="方正小标宋简体" w:hAnsi="方正小标宋简体" w:eastAsia="方正小标宋简体" w:cs="方正小标宋简体"/>
          <w:b w:val="0"/>
          <w:bCs/>
          <w:color w:val="000000" w:themeColor="text1"/>
          <w:sz w:val="56"/>
          <w:szCs w:val="56"/>
          <w:lang w:val="en-US" w:eastAsia="zh-CN"/>
          <w14:textFill>
            <w14:solidFill>
              <w14:schemeClr w14:val="tx1"/>
            </w14:solidFill>
          </w14:textFill>
        </w:rPr>
        <w:t>邵阳市双清区秸秆露天禁烧区</w:t>
      </w:r>
      <w:bookmarkEnd w:id="0"/>
      <w:bookmarkEnd w:id="1"/>
      <w:bookmarkEnd w:id="2"/>
      <w:bookmarkEnd w:id="3"/>
      <w:bookmarkEnd w:id="4"/>
      <w:bookmarkEnd w:id="5"/>
      <w:bookmarkEnd w:id="6"/>
      <w:bookmarkEnd w:id="7"/>
      <w:bookmarkEnd w:id="8"/>
      <w:bookmarkEnd w:id="9"/>
    </w:p>
    <w:p>
      <w:pPr>
        <w:pStyle w:val="17"/>
        <w:pageBreakBefore w:val="0"/>
        <w:kinsoku/>
        <w:wordWrap/>
        <w:overflowPunct/>
        <w:topLinePunct w:val="0"/>
        <w:bidi w:val="0"/>
        <w:spacing w:line="240" w:lineRule="auto"/>
        <w:jc w:val="both"/>
        <w:textAlignment w:val="auto"/>
        <w:rPr>
          <w:rFonts w:hint="default" w:ascii="Times New Roman" w:hAnsi="Times New Roman" w:cs="Times New Roman" w:eastAsiaTheme="minorEastAsia"/>
          <w:b/>
          <w:color w:val="000000" w:themeColor="text1"/>
          <w:sz w:val="96"/>
          <w:szCs w:val="96"/>
          <w14:textFill>
            <w14:solidFill>
              <w14:schemeClr w14:val="tx1"/>
            </w14:solidFill>
          </w14:textFill>
        </w:rPr>
      </w:pPr>
    </w:p>
    <w:p>
      <w:pPr>
        <w:pStyle w:val="17"/>
        <w:pageBreakBefore w:val="0"/>
        <w:kinsoku/>
        <w:wordWrap/>
        <w:overflowPunct/>
        <w:topLinePunct w:val="0"/>
        <w:bidi w:val="0"/>
        <w:spacing w:line="240" w:lineRule="auto"/>
        <w:jc w:val="center"/>
        <w:textAlignment w:val="auto"/>
        <w:outlineLvl w:val="0"/>
        <w:rPr>
          <w:rFonts w:hint="eastAsia" w:ascii="方正隶书简体" w:hAnsi="方正隶书简体" w:eastAsia="方正隶书简体" w:cs="方正隶书简体"/>
          <w:b w:val="0"/>
          <w:bCs/>
          <w:color w:val="000000" w:themeColor="text1"/>
          <w:sz w:val="72"/>
          <w:szCs w:val="72"/>
          <w14:textFill>
            <w14:solidFill>
              <w14:schemeClr w14:val="tx1"/>
            </w14:solidFill>
          </w14:textFill>
        </w:rPr>
      </w:pPr>
      <w:bookmarkStart w:id="10" w:name="_Toc30377"/>
      <w:bookmarkStart w:id="11" w:name="_Toc24803"/>
      <w:bookmarkStart w:id="12" w:name="_Toc3551"/>
      <w:bookmarkStart w:id="13" w:name="_Toc11408"/>
      <w:bookmarkStart w:id="14" w:name="_Toc29004"/>
      <w:bookmarkStart w:id="15" w:name="_Toc1865"/>
      <w:bookmarkStart w:id="16" w:name="_Toc2"/>
      <w:bookmarkStart w:id="17" w:name="_Toc10260"/>
      <w:bookmarkStart w:id="18" w:name="_Toc9152"/>
      <w:bookmarkStart w:id="19" w:name="_Toc22035"/>
      <w:r>
        <w:rPr>
          <w:rFonts w:hint="eastAsia" w:ascii="方正隶书简体" w:hAnsi="方正隶书简体" w:eastAsia="方正隶书简体" w:cs="方正隶书简体"/>
          <w:b w:val="0"/>
          <w:bCs/>
          <w:color w:val="000000" w:themeColor="text1"/>
          <w:sz w:val="72"/>
          <w:szCs w:val="72"/>
          <w14:textFill>
            <w14:solidFill>
              <w14:schemeClr w14:val="tx1"/>
            </w14:solidFill>
          </w14:textFill>
        </w:rPr>
        <w:t>划</w:t>
      </w:r>
      <w:bookmarkEnd w:id="10"/>
      <w:bookmarkEnd w:id="11"/>
      <w:bookmarkEnd w:id="12"/>
      <w:bookmarkEnd w:id="13"/>
      <w:bookmarkEnd w:id="14"/>
      <w:bookmarkEnd w:id="15"/>
      <w:bookmarkEnd w:id="16"/>
      <w:bookmarkEnd w:id="17"/>
      <w:bookmarkEnd w:id="18"/>
      <w:bookmarkEnd w:id="19"/>
    </w:p>
    <w:p>
      <w:pPr>
        <w:pStyle w:val="17"/>
        <w:pageBreakBefore w:val="0"/>
        <w:kinsoku/>
        <w:wordWrap/>
        <w:overflowPunct/>
        <w:topLinePunct w:val="0"/>
        <w:bidi w:val="0"/>
        <w:spacing w:line="240" w:lineRule="auto"/>
        <w:jc w:val="center"/>
        <w:textAlignment w:val="auto"/>
        <w:outlineLvl w:val="0"/>
        <w:rPr>
          <w:rFonts w:hint="eastAsia" w:ascii="方正隶书简体" w:hAnsi="方正隶书简体" w:eastAsia="方正隶书简体" w:cs="方正隶书简体"/>
          <w:b w:val="0"/>
          <w:bCs/>
          <w:color w:val="000000" w:themeColor="text1"/>
          <w:sz w:val="72"/>
          <w:szCs w:val="72"/>
          <w14:textFill>
            <w14:solidFill>
              <w14:schemeClr w14:val="tx1"/>
            </w14:solidFill>
          </w14:textFill>
        </w:rPr>
      </w:pPr>
      <w:bookmarkStart w:id="20" w:name="_Toc29390"/>
      <w:bookmarkStart w:id="21" w:name="_Toc30316"/>
      <w:bookmarkStart w:id="22" w:name="_Toc23281"/>
      <w:bookmarkStart w:id="23" w:name="_Toc20045"/>
      <w:bookmarkStart w:id="24" w:name="_Toc3212"/>
      <w:bookmarkStart w:id="25" w:name="_Toc20625"/>
      <w:bookmarkStart w:id="26" w:name="_Toc10568"/>
      <w:bookmarkStart w:id="27" w:name="_Toc6118"/>
      <w:bookmarkStart w:id="28" w:name="_Toc6226"/>
      <w:bookmarkStart w:id="29" w:name="_Toc30039"/>
      <w:r>
        <w:rPr>
          <w:rFonts w:hint="eastAsia" w:ascii="方正隶书简体" w:hAnsi="方正隶书简体" w:eastAsia="方正隶书简体" w:cs="方正隶书简体"/>
          <w:b w:val="0"/>
          <w:bCs/>
          <w:color w:val="000000" w:themeColor="text1"/>
          <w:sz w:val="72"/>
          <w:szCs w:val="72"/>
          <w14:textFill>
            <w14:solidFill>
              <w14:schemeClr w14:val="tx1"/>
            </w14:solidFill>
          </w14:textFill>
        </w:rPr>
        <w:t>定</w:t>
      </w:r>
      <w:bookmarkEnd w:id="20"/>
      <w:bookmarkEnd w:id="21"/>
      <w:bookmarkEnd w:id="22"/>
      <w:bookmarkEnd w:id="23"/>
      <w:bookmarkEnd w:id="24"/>
      <w:bookmarkEnd w:id="25"/>
      <w:bookmarkEnd w:id="26"/>
      <w:bookmarkEnd w:id="27"/>
      <w:bookmarkEnd w:id="28"/>
      <w:bookmarkEnd w:id="29"/>
    </w:p>
    <w:p>
      <w:pPr>
        <w:pageBreakBefore w:val="0"/>
        <w:kinsoku/>
        <w:wordWrap/>
        <w:overflowPunct/>
        <w:topLinePunct w:val="0"/>
        <w:bidi w:val="0"/>
        <w:spacing w:line="240" w:lineRule="auto"/>
        <w:ind w:firstLine="3916" w:firstLineChars="544"/>
        <w:contextualSpacing/>
        <w:jc w:val="both"/>
        <w:textAlignment w:val="auto"/>
        <w:rPr>
          <w:rFonts w:hint="eastAsia" w:ascii="方正隶书简体" w:hAnsi="方正隶书简体" w:eastAsia="方正隶书简体" w:cs="方正隶书简体"/>
          <w:b w:val="0"/>
          <w:bCs/>
          <w:color w:val="000000" w:themeColor="text1"/>
          <w:sz w:val="72"/>
          <w:szCs w:val="72"/>
          <w:lang w:val="en-US" w:eastAsia="zh-CN"/>
          <w14:textFill>
            <w14:solidFill>
              <w14:schemeClr w14:val="tx1"/>
            </w14:solidFill>
          </w14:textFill>
        </w:rPr>
      </w:pPr>
      <w:r>
        <w:rPr>
          <w:rFonts w:hint="eastAsia" w:ascii="方正隶书简体" w:hAnsi="方正隶书简体" w:eastAsia="方正隶书简体" w:cs="方正隶书简体"/>
          <w:b w:val="0"/>
          <w:bCs/>
          <w:color w:val="000000" w:themeColor="text1"/>
          <w:sz w:val="72"/>
          <w:szCs w:val="72"/>
          <w:lang w:val="en-US" w:eastAsia="zh-CN"/>
          <w14:textFill>
            <w14:solidFill>
              <w14:schemeClr w14:val="tx1"/>
            </w14:solidFill>
          </w14:textFill>
        </w:rPr>
        <w:t>方</w:t>
      </w:r>
    </w:p>
    <w:p>
      <w:pPr>
        <w:pageBreakBefore w:val="0"/>
        <w:kinsoku/>
        <w:wordWrap/>
        <w:overflowPunct/>
        <w:topLinePunct w:val="0"/>
        <w:bidi w:val="0"/>
        <w:spacing w:line="240" w:lineRule="auto"/>
        <w:ind w:firstLine="3916" w:firstLineChars="544"/>
        <w:contextualSpacing/>
        <w:jc w:val="both"/>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eastAsia" w:ascii="方正隶书简体" w:hAnsi="方正隶书简体" w:eastAsia="方正隶书简体" w:cs="方正隶书简体"/>
          <w:b w:val="0"/>
          <w:bCs/>
          <w:color w:val="000000" w:themeColor="text1"/>
          <w:sz w:val="72"/>
          <w:szCs w:val="72"/>
          <w:lang w:val="en-US" w:eastAsia="zh-CN"/>
          <w14:textFill>
            <w14:solidFill>
              <w14:schemeClr w14:val="tx1"/>
            </w14:solidFill>
          </w14:textFill>
        </w:rPr>
        <w:t>案</w:t>
      </w:r>
    </w:p>
    <w:p>
      <w:pPr>
        <w:pageBreakBefore w:val="0"/>
        <w:kinsoku/>
        <w:wordWrap/>
        <w:overflowPunct/>
        <w:topLinePunct w:val="0"/>
        <w:bidi w:val="0"/>
        <w:spacing w:line="240" w:lineRule="auto"/>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征求意见稿）</w:t>
      </w: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p>
    <w:p>
      <w:pPr>
        <w:pStyle w:val="17"/>
        <w:pageBreakBefore w:val="0"/>
        <w:kinsoku/>
        <w:wordWrap/>
        <w:overflowPunct/>
        <w:topLinePunct w:val="0"/>
        <w:bidi w:val="0"/>
        <w:spacing w:line="240" w:lineRule="auto"/>
        <w:textAlignment w:val="auto"/>
        <w:rPr>
          <w:rFonts w:hint="eastAsia" w:ascii="楷体_GB2312" w:hAnsi="楷体_GB2312" w:eastAsia="楷体_GB2312" w:cs="楷体_GB2312"/>
          <w:color w:val="000000" w:themeColor="text1"/>
          <w14:textFill>
            <w14:solidFill>
              <w14:schemeClr w14:val="tx1"/>
            </w14:solidFill>
          </w14:textFill>
        </w:rPr>
      </w:pPr>
    </w:p>
    <w:p>
      <w:pPr>
        <w:pStyle w:val="4"/>
        <w:pageBreakBefore w:val="0"/>
        <w:kinsoku/>
        <w:wordWrap/>
        <w:overflowPunct/>
        <w:topLinePunct w:val="0"/>
        <w:bidi w:val="0"/>
        <w:spacing w:line="240" w:lineRule="auto"/>
        <w:ind w:firstLine="2640" w:firstLineChars="600"/>
        <w:jc w:val="both"/>
        <w:textAlignment w:val="auto"/>
        <w:rPr>
          <w:rFonts w:hint="default" w:ascii="楷体_GB2312" w:hAnsi="楷体_GB2312" w:eastAsia="楷体_GB2312" w:cs="楷体_GB2312"/>
          <w:bCs/>
          <w:color w:val="auto"/>
          <w:sz w:val="44"/>
          <w:szCs w:val="44"/>
          <w:lang w:val="en-US" w:eastAsia="zh-CN"/>
        </w:rPr>
      </w:pPr>
      <w:r>
        <w:rPr>
          <w:rFonts w:hint="eastAsia" w:ascii="楷体_GB2312" w:hAnsi="楷体_GB2312" w:eastAsia="楷体_GB2312" w:cs="楷体_GB2312"/>
          <w:bCs/>
          <w:color w:val="auto"/>
          <w:sz w:val="44"/>
          <w:szCs w:val="44"/>
          <w:lang w:val="en-US" w:eastAsia="zh-CN"/>
        </w:rPr>
        <w:t>邵阳市双清区人民政府</w:t>
      </w:r>
    </w:p>
    <w:p>
      <w:pPr>
        <w:pStyle w:val="4"/>
        <w:pageBreakBefore w:val="0"/>
        <w:kinsoku/>
        <w:wordWrap/>
        <w:overflowPunct/>
        <w:topLinePunct w:val="0"/>
        <w:bidi w:val="0"/>
        <w:spacing w:line="240" w:lineRule="auto"/>
        <w:ind w:firstLine="4160" w:firstLineChars="1300"/>
        <w:jc w:val="both"/>
        <w:textAlignment w:val="auto"/>
        <w:rPr>
          <w:rFonts w:hint="default"/>
          <w:color w:val="000000" w:themeColor="text1"/>
          <w14:textFill>
            <w14:solidFill>
              <w14:schemeClr w14:val="tx1"/>
            </w14:solidFill>
          </w14:textFill>
        </w:rPr>
      </w:pPr>
      <w:r>
        <w:rPr>
          <w:rFonts w:hint="eastAsia" w:ascii="楷体_GB2312" w:hAnsi="楷体_GB2312" w:eastAsia="楷体_GB2312" w:cs="楷体_GB2312"/>
          <w:bCs/>
          <w:color w:val="000000" w:themeColor="text1"/>
          <w:sz w:val="32"/>
          <w:szCs w:val="32"/>
          <w:lang w:val="en-US" w:eastAsia="zh-CN"/>
          <w14:textFill>
            <w14:solidFill>
              <w14:schemeClr w14:val="tx1"/>
            </w14:solidFill>
          </w14:textFill>
        </w:rPr>
        <w:t>2024年</w:t>
      </w:r>
    </w:p>
    <w:p>
      <w:pPr>
        <w:pageBreakBefore w:val="0"/>
        <w:kinsoku/>
        <w:wordWrap/>
        <w:overflowPunct/>
        <w:topLinePunct w:val="0"/>
        <w:bidi w:val="0"/>
        <w:spacing w:line="240" w:lineRule="auto"/>
        <w:ind w:firstLine="723"/>
        <w:contextualSpacing/>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sectPr>
          <w:footerReference r:id="rId3" w:type="default"/>
          <w:pgSz w:w="11906" w:h="16838"/>
          <w:pgMar w:top="1440" w:right="1627" w:bottom="1440" w:left="162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ascii="宋体" w:hAnsi="宋体" w:eastAsia="宋体" w:cstheme="minorBidi"/>
          <w:b/>
          <w:bCs/>
          <w:kern w:val="2"/>
          <w:sz w:val="28"/>
          <w:szCs w:val="28"/>
          <w:lang w:val="en-US" w:eastAsia="zh-CN" w:bidi="ar-SA"/>
        </w:rPr>
        <w:id w:val="147481736"/>
        <w15:color w:val="DBDBDB"/>
        <w:docPartObj>
          <w:docPartGallery w:val="Table of Contents"/>
          <w:docPartUnique/>
        </w:docPartObj>
      </w:sdtPr>
      <w:sdtEndPr>
        <w:rPr>
          <w:rFonts w:hint="eastAsia" w:asciiTheme="minorHAnsi" w:hAnsiTheme="minorHAnsi" w:eastAsiaTheme="minorEastAsia" w:cstheme="minorBidi"/>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pPr>
            <w:pStyle w:val="10"/>
            <w:tabs>
              <w:tab w:val="right" w:leader="dot" w:pos="8306"/>
            </w:tabs>
          </w:pPr>
          <w:r>
            <w:rPr>
              <w:rFonts w:hint="eastAsia"/>
            </w:rPr>
            <w:fldChar w:fldCharType="begin"/>
          </w:r>
          <w:r>
            <w:rPr>
              <w:rFonts w:hint="eastAsia"/>
            </w:rPr>
            <w:instrText xml:space="preserve">TOC \o "1-3" \h \u </w:instrText>
          </w:r>
          <w:r>
            <w:rPr>
              <w:rFonts w:hint="eastAsia"/>
            </w:rPr>
            <w:fldChar w:fldCharType="separate"/>
          </w:r>
        </w:p>
        <w:p>
          <w:pPr>
            <w:pStyle w:val="10"/>
            <w:tabs>
              <w:tab w:val="right" w:leader="dot" w:pos="8306"/>
            </w:tabs>
          </w:pPr>
          <w:r>
            <w:rPr>
              <w:rFonts w:hint="eastAsia"/>
            </w:rPr>
            <w:fldChar w:fldCharType="begin"/>
          </w:r>
          <w:r>
            <w:rPr>
              <w:rFonts w:hint="eastAsia"/>
            </w:rPr>
            <w:instrText xml:space="preserve"> HYPERLINK \l _Toc30257 </w:instrText>
          </w:r>
          <w:r>
            <w:rPr>
              <w:rFonts w:hint="eastAsia"/>
            </w:rPr>
            <w:fldChar w:fldCharType="separate"/>
          </w:r>
          <w:r>
            <w:rPr>
              <w:rFonts w:hint="eastAsia"/>
            </w:rPr>
            <w:t>第1章 总则</w:t>
          </w:r>
          <w:r>
            <w:tab/>
          </w:r>
          <w:r>
            <w:fldChar w:fldCharType="begin"/>
          </w:r>
          <w:r>
            <w:instrText xml:space="preserve"> PAGEREF _Toc30257 \h </w:instrText>
          </w:r>
          <w:r>
            <w:fldChar w:fldCharType="separate"/>
          </w:r>
          <w:r>
            <w:t>1</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_Toc15230 </w:instrText>
          </w:r>
          <w:r>
            <w:rPr>
              <w:rFonts w:hint="eastAsia"/>
            </w:rPr>
            <w:fldChar w:fldCharType="separate"/>
          </w:r>
          <w:r>
            <w:rPr>
              <w:rFonts w:hint="eastAsia"/>
            </w:rPr>
            <w:t>1.1方案背景</w:t>
          </w:r>
          <w:r>
            <w:tab/>
          </w:r>
          <w:r>
            <w:fldChar w:fldCharType="begin"/>
          </w:r>
          <w:r>
            <w:instrText xml:space="preserve"> PAGEREF _Toc15230 \h </w:instrText>
          </w:r>
          <w:r>
            <w:fldChar w:fldCharType="separate"/>
          </w:r>
          <w:r>
            <w:t>1</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_Toc6272 </w:instrText>
          </w:r>
          <w:r>
            <w:rPr>
              <w:rFonts w:hint="eastAsia"/>
            </w:rPr>
            <w:fldChar w:fldCharType="separate"/>
          </w:r>
          <w:r>
            <w:rPr>
              <w:rFonts w:hint="eastAsia"/>
            </w:rPr>
            <w:t>1.2意义与目的</w:t>
          </w:r>
          <w:r>
            <w:tab/>
          </w:r>
          <w:r>
            <w:fldChar w:fldCharType="begin"/>
          </w:r>
          <w:r>
            <w:instrText xml:space="preserve"> PAGEREF _Toc6272 \h </w:instrText>
          </w:r>
          <w:r>
            <w:fldChar w:fldCharType="separate"/>
          </w:r>
          <w:r>
            <w:t>1</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_Toc19568 </w:instrText>
          </w:r>
          <w:r>
            <w:rPr>
              <w:rFonts w:hint="eastAsia"/>
            </w:rPr>
            <w:fldChar w:fldCharType="separate"/>
          </w:r>
          <w:r>
            <w:rPr>
              <w:rFonts w:hint="eastAsia"/>
            </w:rPr>
            <w:t>1.3指导思想</w:t>
          </w:r>
          <w:r>
            <w:tab/>
          </w:r>
          <w:r>
            <w:fldChar w:fldCharType="begin"/>
          </w:r>
          <w:r>
            <w:instrText xml:space="preserve"> PAGEREF _Toc19568 \h </w:instrText>
          </w:r>
          <w:r>
            <w:fldChar w:fldCharType="separate"/>
          </w:r>
          <w:r>
            <w:t>2</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_Toc6829 </w:instrText>
          </w:r>
          <w:r>
            <w:rPr>
              <w:rFonts w:hint="eastAsia"/>
            </w:rPr>
            <w:fldChar w:fldCharType="separate"/>
          </w:r>
          <w:r>
            <w:rPr>
              <w:rFonts w:hint="eastAsia"/>
            </w:rPr>
            <w:t>1.4划定原则</w:t>
          </w:r>
          <w:r>
            <w:tab/>
          </w:r>
          <w:r>
            <w:fldChar w:fldCharType="begin"/>
          </w:r>
          <w:r>
            <w:instrText xml:space="preserve"> PAGEREF _Toc6829 \h </w:instrText>
          </w:r>
          <w:r>
            <w:fldChar w:fldCharType="separate"/>
          </w:r>
          <w:r>
            <w:t>2</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_Toc20731 </w:instrText>
          </w:r>
          <w:r>
            <w:rPr>
              <w:rFonts w:hint="eastAsia"/>
            </w:rPr>
            <w:fldChar w:fldCharType="separate"/>
          </w:r>
          <w:r>
            <w:rPr>
              <w:rFonts w:hint="eastAsia" w:ascii="仿宋" w:hAnsi="仿宋" w:eastAsia="仿宋" w:cs="仿宋"/>
              <w:szCs w:val="28"/>
            </w:rPr>
            <w:t>（1）合理性原则</w:t>
          </w:r>
          <w:r>
            <w:tab/>
          </w:r>
          <w:r>
            <w:fldChar w:fldCharType="begin"/>
          </w:r>
          <w:r>
            <w:instrText xml:space="preserve"> PAGEREF _Toc20731 \h </w:instrText>
          </w:r>
          <w:r>
            <w:fldChar w:fldCharType="separate"/>
          </w:r>
          <w:r>
            <w:t>2</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_Toc28016 </w:instrText>
          </w:r>
          <w:r>
            <w:rPr>
              <w:rFonts w:hint="eastAsia"/>
            </w:rPr>
            <w:fldChar w:fldCharType="separate"/>
          </w:r>
          <w:r>
            <w:rPr>
              <w:rFonts w:hint="eastAsia" w:ascii="仿宋" w:hAnsi="仿宋" w:eastAsia="仿宋" w:cs="仿宋"/>
              <w:szCs w:val="28"/>
            </w:rPr>
            <w:t>（2）合法性原则</w:t>
          </w:r>
          <w:r>
            <w:tab/>
          </w:r>
          <w:r>
            <w:fldChar w:fldCharType="begin"/>
          </w:r>
          <w:r>
            <w:instrText xml:space="preserve"> PAGEREF _Toc28016 \h </w:instrText>
          </w:r>
          <w:r>
            <w:fldChar w:fldCharType="separate"/>
          </w:r>
          <w:r>
            <w:t>2</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_Toc12964 </w:instrText>
          </w:r>
          <w:r>
            <w:rPr>
              <w:rFonts w:hint="eastAsia"/>
            </w:rPr>
            <w:fldChar w:fldCharType="separate"/>
          </w:r>
          <w:r>
            <w:rPr>
              <w:rFonts w:hint="eastAsia" w:ascii="仿宋" w:hAnsi="仿宋" w:eastAsia="仿宋" w:cs="仿宋"/>
              <w:szCs w:val="28"/>
            </w:rPr>
            <w:t>（</w:t>
          </w:r>
          <w:r>
            <w:rPr>
              <w:rFonts w:hint="eastAsia" w:ascii="仿宋" w:hAnsi="仿宋" w:eastAsia="仿宋" w:cs="仿宋"/>
              <w:szCs w:val="28"/>
              <w:lang w:val="en-US" w:eastAsia="zh-CN"/>
            </w:rPr>
            <w:t>3</w:t>
          </w:r>
          <w:r>
            <w:rPr>
              <w:rFonts w:hint="eastAsia" w:ascii="仿宋" w:hAnsi="仿宋" w:eastAsia="仿宋" w:cs="仿宋"/>
              <w:szCs w:val="28"/>
            </w:rPr>
            <w:t>）动态性原则</w:t>
          </w:r>
          <w:r>
            <w:tab/>
          </w:r>
          <w:r>
            <w:fldChar w:fldCharType="begin"/>
          </w:r>
          <w:r>
            <w:instrText xml:space="preserve"> PAGEREF _Toc12964 \h </w:instrText>
          </w:r>
          <w:r>
            <w:fldChar w:fldCharType="separate"/>
          </w:r>
          <w:r>
            <w:t>2</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_Toc18747 </w:instrText>
          </w:r>
          <w:r>
            <w:rPr>
              <w:rFonts w:hint="eastAsia"/>
            </w:rPr>
            <w:fldChar w:fldCharType="separate"/>
          </w:r>
          <w:r>
            <w:rPr>
              <w:rFonts w:hint="eastAsia"/>
            </w:rPr>
            <w:t>1.5划定范围</w:t>
          </w:r>
          <w:r>
            <w:tab/>
          </w:r>
          <w:r>
            <w:fldChar w:fldCharType="begin"/>
          </w:r>
          <w:r>
            <w:instrText xml:space="preserve"> PAGEREF _Toc18747 \h </w:instrText>
          </w:r>
          <w:r>
            <w:fldChar w:fldCharType="separate"/>
          </w:r>
          <w:r>
            <w:t>3</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_Toc28943 </w:instrText>
          </w:r>
          <w:r>
            <w:rPr>
              <w:rFonts w:hint="eastAsia"/>
            </w:rPr>
            <w:fldChar w:fldCharType="separate"/>
          </w:r>
          <w:r>
            <w:rPr>
              <w:rFonts w:hint="eastAsia"/>
            </w:rPr>
            <w:t>第2章 划定依据与程序</w:t>
          </w:r>
          <w:r>
            <w:tab/>
          </w:r>
          <w:r>
            <w:fldChar w:fldCharType="begin"/>
          </w:r>
          <w:r>
            <w:instrText xml:space="preserve"> PAGEREF _Toc28943 \h </w:instrText>
          </w:r>
          <w:r>
            <w:fldChar w:fldCharType="separate"/>
          </w:r>
          <w:r>
            <w:t>3</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_Toc7220 </w:instrText>
          </w:r>
          <w:r>
            <w:rPr>
              <w:rFonts w:hint="eastAsia"/>
            </w:rPr>
            <w:fldChar w:fldCharType="separate"/>
          </w:r>
          <w:r>
            <w:rPr>
              <w:rFonts w:hint="eastAsia"/>
            </w:rPr>
            <w:t>2.1 划定依据</w:t>
          </w:r>
          <w:r>
            <w:tab/>
          </w:r>
          <w:r>
            <w:fldChar w:fldCharType="begin"/>
          </w:r>
          <w:r>
            <w:instrText xml:space="preserve"> PAGEREF _Toc7220 \h </w:instrText>
          </w:r>
          <w:r>
            <w:fldChar w:fldCharType="separate"/>
          </w:r>
          <w:r>
            <w:t>3</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_Toc13965 </w:instrText>
          </w:r>
          <w:r>
            <w:rPr>
              <w:rFonts w:hint="eastAsia"/>
            </w:rPr>
            <w:fldChar w:fldCharType="separate"/>
          </w:r>
          <w:r>
            <w:rPr>
              <w:rFonts w:hint="eastAsia"/>
            </w:rPr>
            <w:t>2.</w:t>
          </w:r>
          <w:r>
            <w:rPr>
              <w:rFonts w:hint="eastAsia"/>
              <w:lang w:val="en-US" w:eastAsia="zh-CN"/>
            </w:rPr>
            <w:t>2</w:t>
          </w:r>
          <w:r>
            <w:rPr>
              <w:rFonts w:hint="eastAsia"/>
            </w:rPr>
            <w:t>划定工作程序</w:t>
          </w:r>
          <w:r>
            <w:tab/>
          </w:r>
          <w:r>
            <w:fldChar w:fldCharType="begin"/>
          </w:r>
          <w:r>
            <w:instrText xml:space="preserve"> PAGEREF _Toc13965 \h </w:instrText>
          </w:r>
          <w:r>
            <w:fldChar w:fldCharType="separate"/>
          </w:r>
          <w:r>
            <w:t>4</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_Toc26557 </w:instrText>
          </w:r>
          <w:r>
            <w:rPr>
              <w:rFonts w:hint="eastAsia"/>
            </w:rPr>
            <w:fldChar w:fldCharType="separate"/>
          </w:r>
          <w:r>
            <w:rPr>
              <w:rFonts w:hint="eastAsia"/>
            </w:rPr>
            <w:t>2.3术语与定义</w:t>
          </w:r>
          <w:r>
            <w:tab/>
          </w:r>
          <w:r>
            <w:fldChar w:fldCharType="begin"/>
          </w:r>
          <w:r>
            <w:instrText xml:space="preserve"> PAGEREF _Toc26557 \h </w:instrText>
          </w:r>
          <w:r>
            <w:fldChar w:fldCharType="separate"/>
          </w:r>
          <w:r>
            <w:t>6</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_Toc5623 </w:instrText>
          </w:r>
          <w:r>
            <w:rPr>
              <w:rFonts w:hint="eastAsia"/>
            </w:rPr>
            <w:fldChar w:fldCharType="separate"/>
          </w:r>
          <w:r>
            <w:rPr>
              <w:rFonts w:hint="eastAsia"/>
            </w:rPr>
            <w:t>第3章 区域概况</w:t>
          </w:r>
          <w:r>
            <w:tab/>
          </w:r>
          <w:r>
            <w:fldChar w:fldCharType="begin"/>
          </w:r>
          <w:r>
            <w:instrText xml:space="preserve"> PAGEREF _Toc5623 \h </w:instrText>
          </w:r>
          <w:r>
            <w:fldChar w:fldCharType="separate"/>
          </w:r>
          <w:r>
            <w:t>7</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_Toc19593 </w:instrText>
          </w:r>
          <w:r>
            <w:rPr>
              <w:rFonts w:hint="eastAsia"/>
            </w:rPr>
            <w:fldChar w:fldCharType="separate"/>
          </w:r>
          <w:r>
            <w:rPr>
              <w:rFonts w:hint="eastAsia"/>
            </w:rPr>
            <w:t>3.1交通及地理位置</w:t>
          </w:r>
          <w:r>
            <w:tab/>
          </w:r>
          <w:r>
            <w:fldChar w:fldCharType="begin"/>
          </w:r>
          <w:r>
            <w:instrText xml:space="preserve"> PAGEREF _Toc19593 \h </w:instrText>
          </w:r>
          <w:r>
            <w:fldChar w:fldCharType="separate"/>
          </w:r>
          <w:r>
            <w:t>7</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_Toc13184 </w:instrText>
          </w:r>
          <w:r>
            <w:rPr>
              <w:rFonts w:hint="eastAsia"/>
            </w:rPr>
            <w:fldChar w:fldCharType="separate"/>
          </w:r>
          <w:r>
            <w:rPr>
              <w:rFonts w:hint="eastAsia"/>
            </w:rPr>
            <w:t>3.2行政区划</w:t>
          </w:r>
          <w:r>
            <w:tab/>
          </w:r>
          <w:r>
            <w:fldChar w:fldCharType="begin"/>
          </w:r>
          <w:r>
            <w:instrText xml:space="preserve"> PAGEREF _Toc13184 \h </w:instrText>
          </w:r>
          <w:r>
            <w:fldChar w:fldCharType="separate"/>
          </w:r>
          <w:r>
            <w:t>7</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_Toc13123 </w:instrText>
          </w:r>
          <w:r>
            <w:rPr>
              <w:rFonts w:hint="eastAsia"/>
            </w:rPr>
            <w:fldChar w:fldCharType="separate"/>
          </w:r>
          <w:r>
            <w:rPr>
              <w:rFonts w:hint="eastAsia"/>
            </w:rPr>
            <w:t>3.3地形地貌</w:t>
          </w:r>
          <w:r>
            <w:tab/>
          </w:r>
          <w:r>
            <w:fldChar w:fldCharType="begin"/>
          </w:r>
          <w:r>
            <w:instrText xml:space="preserve"> PAGEREF _Toc13123 \h </w:instrText>
          </w:r>
          <w:r>
            <w:fldChar w:fldCharType="separate"/>
          </w:r>
          <w:r>
            <w:t>8</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_Toc30756 </w:instrText>
          </w:r>
          <w:r>
            <w:rPr>
              <w:rFonts w:hint="eastAsia"/>
            </w:rPr>
            <w:fldChar w:fldCharType="separate"/>
          </w:r>
          <w:r>
            <w:rPr>
              <w:rFonts w:hint="eastAsia"/>
            </w:rPr>
            <w:t>3.4气候气象</w:t>
          </w:r>
          <w:r>
            <w:tab/>
          </w:r>
          <w:r>
            <w:fldChar w:fldCharType="begin"/>
          </w:r>
          <w:r>
            <w:instrText xml:space="preserve"> PAGEREF _Toc30756 \h </w:instrText>
          </w:r>
          <w:r>
            <w:fldChar w:fldCharType="separate"/>
          </w:r>
          <w:r>
            <w:t>9</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_Toc15926 </w:instrText>
          </w:r>
          <w:r>
            <w:rPr>
              <w:rFonts w:hint="eastAsia"/>
            </w:rPr>
            <w:fldChar w:fldCharType="separate"/>
          </w:r>
          <w:r>
            <w:rPr>
              <w:rFonts w:hint="eastAsia"/>
            </w:rPr>
            <w:t>3.5农业发展</w:t>
          </w:r>
          <w:r>
            <w:tab/>
          </w:r>
          <w:r>
            <w:fldChar w:fldCharType="begin"/>
          </w:r>
          <w:r>
            <w:instrText xml:space="preserve"> PAGEREF _Toc15926 \h </w:instrText>
          </w:r>
          <w:r>
            <w:fldChar w:fldCharType="separate"/>
          </w:r>
          <w:r>
            <w:t>9</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_Toc17361 </w:instrText>
          </w:r>
          <w:r>
            <w:rPr>
              <w:rFonts w:hint="eastAsia"/>
            </w:rPr>
            <w:fldChar w:fldCharType="separate"/>
          </w:r>
          <w:r>
            <w:rPr>
              <w:rFonts w:hint="eastAsia"/>
            </w:rPr>
            <w:t>第4章 秸秆禁烧区和限烧区划定方案</w:t>
          </w:r>
          <w:r>
            <w:rPr>
              <w:rFonts w:hint="eastAsia"/>
              <w:lang w:val="en-US" w:eastAsia="zh-CN"/>
            </w:rPr>
            <w:t>及成果</w:t>
          </w:r>
          <w:r>
            <w:tab/>
          </w:r>
          <w:r>
            <w:fldChar w:fldCharType="begin"/>
          </w:r>
          <w:r>
            <w:instrText xml:space="preserve"> PAGEREF _Toc17361 \h </w:instrText>
          </w:r>
          <w:r>
            <w:fldChar w:fldCharType="separate"/>
          </w:r>
          <w:r>
            <w:t>9</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_Toc2169 </w:instrText>
          </w:r>
          <w:r>
            <w:rPr>
              <w:rFonts w:hint="eastAsia"/>
            </w:rPr>
            <w:fldChar w:fldCharType="separate"/>
          </w:r>
          <w:r>
            <w:rPr>
              <w:rFonts w:hint="eastAsia"/>
            </w:rPr>
            <w:t>4.1禁烧区</w:t>
          </w:r>
          <w:r>
            <w:rPr>
              <w:rFonts w:hint="eastAsia"/>
              <w:lang w:val="en-US" w:eastAsia="zh-CN"/>
            </w:rPr>
            <w:t>划定方法</w:t>
          </w:r>
          <w:r>
            <w:tab/>
          </w:r>
          <w:r>
            <w:fldChar w:fldCharType="begin"/>
          </w:r>
          <w:r>
            <w:instrText xml:space="preserve"> PAGEREF _Toc2169 \h </w:instrText>
          </w:r>
          <w:r>
            <w:fldChar w:fldCharType="separate"/>
          </w:r>
          <w:r>
            <w:t>9</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_Toc25417 </w:instrText>
          </w:r>
          <w:r>
            <w:rPr>
              <w:rFonts w:hint="eastAsia"/>
            </w:rPr>
            <w:fldChar w:fldCharType="separate"/>
          </w:r>
          <w:r>
            <w:rPr>
              <w:rFonts w:hint="eastAsia"/>
            </w:rPr>
            <w:t>4.2 限烧区</w:t>
          </w:r>
          <w:r>
            <w:tab/>
          </w:r>
          <w:r>
            <w:fldChar w:fldCharType="begin"/>
          </w:r>
          <w:r>
            <w:instrText xml:space="preserve"> PAGEREF _Toc25417 \h </w:instrText>
          </w:r>
          <w:r>
            <w:fldChar w:fldCharType="separate"/>
          </w:r>
          <w:r>
            <w:t>11</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_Toc1097 </w:instrText>
          </w:r>
          <w:r>
            <w:rPr>
              <w:rFonts w:hint="eastAsia"/>
            </w:rPr>
            <w:fldChar w:fldCharType="separate"/>
          </w:r>
          <w:r>
            <w:rPr>
              <w:rFonts w:hint="eastAsia"/>
            </w:rPr>
            <w:t>第</w:t>
          </w:r>
          <w:r>
            <w:rPr>
              <w:rFonts w:hint="eastAsia"/>
              <w:lang w:val="en-US" w:eastAsia="zh-CN"/>
            </w:rPr>
            <w:t>5</w:t>
          </w:r>
          <w:r>
            <w:rPr>
              <w:rFonts w:hint="eastAsia"/>
            </w:rPr>
            <w:t xml:space="preserve">章 </w:t>
          </w:r>
          <w:r>
            <w:rPr>
              <w:rFonts w:hint="eastAsia"/>
              <w:lang w:val="en-US" w:eastAsia="zh-CN"/>
            </w:rPr>
            <w:t>管控要求及管理办法</w:t>
          </w:r>
          <w:r>
            <w:tab/>
          </w:r>
          <w:r>
            <w:fldChar w:fldCharType="begin"/>
          </w:r>
          <w:r>
            <w:instrText xml:space="preserve"> PAGEREF _Toc1097 \h </w:instrText>
          </w:r>
          <w:r>
            <w:fldChar w:fldCharType="separate"/>
          </w:r>
          <w:r>
            <w:t>12</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_Toc31026 </w:instrText>
          </w:r>
          <w:r>
            <w:rPr>
              <w:rFonts w:hint="eastAsia"/>
            </w:rPr>
            <w:fldChar w:fldCharType="separate"/>
          </w:r>
          <w:r>
            <w:rPr>
              <w:rFonts w:hint="default"/>
              <w:lang w:val="en-US" w:eastAsia="zh-CN"/>
            </w:rPr>
            <w:t>5.1管控要求</w:t>
          </w:r>
          <w:r>
            <w:tab/>
          </w:r>
          <w:r>
            <w:fldChar w:fldCharType="begin"/>
          </w:r>
          <w:r>
            <w:instrText xml:space="preserve"> PAGEREF _Toc31026 \h </w:instrText>
          </w:r>
          <w:r>
            <w:fldChar w:fldCharType="separate"/>
          </w:r>
          <w:r>
            <w:t>12</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_Toc8699 </w:instrText>
          </w:r>
          <w:r>
            <w:rPr>
              <w:rFonts w:hint="eastAsia"/>
            </w:rPr>
            <w:fldChar w:fldCharType="separate"/>
          </w:r>
          <w:r>
            <w:rPr>
              <w:rFonts w:hint="default"/>
              <w:lang w:val="en-US" w:eastAsia="zh-CN"/>
            </w:rPr>
            <w:t>5.2管理办法</w:t>
          </w:r>
          <w:r>
            <w:tab/>
          </w:r>
          <w:r>
            <w:fldChar w:fldCharType="begin"/>
          </w:r>
          <w:r>
            <w:instrText xml:space="preserve"> PAGEREF _Toc8699 \h </w:instrText>
          </w:r>
          <w:r>
            <w:fldChar w:fldCharType="separate"/>
          </w:r>
          <w:r>
            <w:t>13</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_Toc14469 </w:instrText>
          </w:r>
          <w:r>
            <w:rPr>
              <w:rFonts w:hint="eastAsia"/>
            </w:rPr>
            <w:fldChar w:fldCharType="separate"/>
          </w:r>
          <w:r>
            <w:rPr>
              <w:rFonts w:hint="default"/>
              <w:lang w:val="en-US" w:eastAsia="zh-CN"/>
            </w:rPr>
            <w:t>5.3管控保障措施</w:t>
          </w:r>
          <w:r>
            <w:tab/>
          </w:r>
          <w:r>
            <w:fldChar w:fldCharType="begin"/>
          </w:r>
          <w:r>
            <w:instrText xml:space="preserve"> PAGEREF _Toc14469 \h </w:instrText>
          </w:r>
          <w:r>
            <w:fldChar w:fldCharType="separate"/>
          </w:r>
          <w:r>
            <w:t>14</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_Toc3045 </w:instrText>
          </w:r>
          <w:r>
            <w:rPr>
              <w:rFonts w:hint="eastAsia"/>
            </w:rPr>
            <w:fldChar w:fldCharType="separate"/>
          </w:r>
          <w:r>
            <w:rPr>
              <w:rFonts w:hint="default"/>
              <w:lang w:val="en-US" w:eastAsia="zh-CN"/>
            </w:rPr>
            <w:t>5.4 秸秆离田管理措施</w:t>
          </w:r>
          <w:r>
            <w:tab/>
          </w:r>
          <w:r>
            <w:fldChar w:fldCharType="begin"/>
          </w:r>
          <w:r>
            <w:instrText xml:space="preserve"> PAGEREF _Toc3045 \h </w:instrText>
          </w:r>
          <w:r>
            <w:fldChar w:fldCharType="separate"/>
          </w:r>
          <w:r>
            <w:t>14</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_Toc12224 </w:instrText>
          </w:r>
          <w:r>
            <w:rPr>
              <w:rFonts w:hint="eastAsia"/>
            </w:rPr>
            <w:fldChar w:fldCharType="separate"/>
          </w:r>
          <w:r>
            <w:rPr>
              <w:rFonts w:hint="default"/>
              <w:lang w:val="en-US" w:eastAsia="zh-CN"/>
            </w:rPr>
            <w:t>5.5 禁烧区管理规定</w:t>
          </w:r>
          <w:r>
            <w:tab/>
          </w:r>
          <w:r>
            <w:fldChar w:fldCharType="begin"/>
          </w:r>
          <w:r>
            <w:instrText xml:space="preserve"> PAGEREF _Toc12224 \h </w:instrText>
          </w:r>
          <w:r>
            <w:fldChar w:fldCharType="separate"/>
          </w:r>
          <w:r>
            <w:t>15</w:t>
          </w:r>
          <w:r>
            <w:fldChar w:fldCharType="end"/>
          </w:r>
          <w:r>
            <w:rPr>
              <w:rFonts w:hint="eastAsia"/>
            </w:rPr>
            <w:fldChar w:fldCharType="end"/>
          </w:r>
        </w:p>
        <w:p>
          <w:pPr>
            <w:rPr>
              <w:rFonts w:hint="eastAsia" w:asciiTheme="minorHAnsi" w:hAnsiTheme="minorHAnsi" w:eastAsiaTheme="minorEastAsia" w:cstheme="minorBidi"/>
              <w:b/>
              <w:bCs/>
              <w:kern w:val="2"/>
              <w:sz w:val="21"/>
              <w:szCs w:val="24"/>
              <w:lang w:val="en-US" w:eastAsia="zh-CN" w:bidi="ar-SA"/>
            </w:rPr>
          </w:pPr>
          <w:r>
            <w:rPr>
              <w:rFonts w:hint="eastAsia"/>
            </w:rPr>
            <w:fldChar w:fldCharType="end"/>
          </w:r>
        </w:p>
      </w:sdtContent>
    </w:sdt>
    <w:p>
      <w:pPr>
        <w:rPr>
          <w:rFonts w:hint="eastAsia" w:asciiTheme="minorHAnsi" w:hAnsiTheme="minorHAnsi" w:eastAsiaTheme="minorEastAsia" w:cstheme="minorBidi"/>
          <w:b/>
          <w:bCs/>
          <w:kern w:val="2"/>
          <w:sz w:val="21"/>
          <w:szCs w:val="24"/>
          <w:lang w:val="en-US" w:eastAsia="zh-CN" w:bidi="ar-SA"/>
        </w:rPr>
      </w:pPr>
    </w:p>
    <w:p>
      <w:pPr>
        <w:rPr>
          <w:rFonts w:hint="eastAsia" w:asciiTheme="minorHAnsi" w:hAnsiTheme="minorHAnsi" w:eastAsiaTheme="minorEastAsia" w:cstheme="minorBidi"/>
          <w:b/>
          <w:bCs/>
          <w:kern w:val="2"/>
          <w:sz w:val="21"/>
          <w:szCs w:val="24"/>
          <w:lang w:val="en-US" w:eastAsia="zh-CN" w:bidi="ar-SA"/>
        </w:rPr>
      </w:pPr>
    </w:p>
    <w:p>
      <w:pPr>
        <w:rPr>
          <w:rFonts w:hint="eastAsia" w:asciiTheme="minorHAnsi" w:hAnsiTheme="minorHAnsi" w:eastAsiaTheme="minorEastAsia" w:cstheme="minorBidi"/>
          <w:b/>
          <w:bCs/>
          <w:kern w:val="2"/>
          <w:sz w:val="21"/>
          <w:szCs w:val="24"/>
          <w:lang w:val="en-US" w:eastAsia="zh-CN" w:bidi="ar-SA"/>
        </w:rPr>
      </w:pPr>
    </w:p>
    <w:p>
      <w:pPr>
        <w:rPr>
          <w:rFonts w:hint="eastAsia" w:asciiTheme="minorHAnsi" w:hAnsiTheme="minorHAnsi" w:eastAsiaTheme="minorEastAsia" w:cstheme="minorBidi"/>
          <w:b/>
          <w:bCs/>
          <w:kern w:val="2"/>
          <w:sz w:val="21"/>
          <w:szCs w:val="24"/>
          <w:lang w:val="en-US" w:eastAsia="zh-CN" w:bidi="ar-SA"/>
        </w:rPr>
      </w:pPr>
    </w:p>
    <w:p>
      <w:pPr>
        <w:pStyle w:val="2"/>
        <w:bidi w:val="0"/>
        <w:jc w:val="center"/>
        <w:outlineLvl w:val="0"/>
        <w:rPr>
          <w:rFonts w:hint="eastAsia"/>
        </w:rPr>
        <w:sectPr>
          <w:footerReference r:id="rId4" w:type="default"/>
          <w:pgSz w:w="11906" w:h="16838"/>
          <w:pgMar w:top="1440" w:right="1800" w:bottom="1440" w:left="1800" w:header="851" w:footer="992" w:gutter="0"/>
          <w:pgNumType w:start="1"/>
          <w:cols w:space="425" w:num="1"/>
          <w:docGrid w:type="lines" w:linePitch="312" w:charSpace="0"/>
        </w:sectPr>
      </w:pPr>
      <w:bookmarkStart w:id="30" w:name="_Toc30257"/>
    </w:p>
    <w:p>
      <w:pPr>
        <w:pStyle w:val="2"/>
        <w:bidi w:val="0"/>
        <w:jc w:val="center"/>
        <w:outlineLvl w:val="0"/>
        <w:rPr>
          <w:rFonts w:hint="eastAsia"/>
        </w:rPr>
      </w:pPr>
      <w:r>
        <w:rPr>
          <w:rFonts w:hint="eastAsia"/>
        </w:rPr>
        <w:t>第1章 总则</w:t>
      </w:r>
      <w:bookmarkEnd w:id="30"/>
    </w:p>
    <w:p>
      <w:pPr>
        <w:pStyle w:val="3"/>
        <w:bidi w:val="0"/>
        <w:rPr>
          <w:rFonts w:hint="eastAsia"/>
        </w:rPr>
      </w:pPr>
      <w:bookmarkStart w:id="31" w:name="_Toc15230"/>
      <w:r>
        <w:rPr>
          <w:rFonts w:hint="eastAsia"/>
        </w:rPr>
        <w:t>1.1方案背景</w:t>
      </w:r>
      <w:bookmarkEnd w:id="31"/>
    </w:p>
    <w:p>
      <w:pPr>
        <w:ind w:firstLine="560" w:firstLineChars="200"/>
        <w:rPr>
          <w:rFonts w:hint="eastAsia" w:ascii="仿宋" w:hAnsi="仿宋" w:eastAsia="仿宋" w:cs="仿宋"/>
          <w:sz w:val="28"/>
          <w:szCs w:val="28"/>
        </w:rPr>
      </w:pPr>
      <w:r>
        <w:rPr>
          <w:rFonts w:hint="eastAsia" w:ascii="仿宋" w:hAnsi="仿宋" w:eastAsia="仿宋" w:cs="仿宋"/>
          <w:sz w:val="28"/>
          <w:szCs w:val="28"/>
        </w:rPr>
        <w:t>为切实加强秸秆露天禁烧工作，减少大气污染，进一步改善生态环境和空气质量，科学有效地管控秸秆露天焚烧，努力完成年度环境空气质量目标和大气污染防治各项任务，打赢蓝天保卫战，保障人民群众身体健康。根据《中华人民共和国环境保护法》《中华人民共和国大气污染防治法》《国家发展和改革委员会、财政部、农业农村部、生态环境部关于进一步加快推进农作物秸秆综合利用和焚烧工作的通知》《湖南省大气污染防治条例》等有关法律法规要求，结合我</w:t>
      </w:r>
      <w:r>
        <w:rPr>
          <w:rFonts w:hint="eastAsia" w:ascii="仿宋" w:hAnsi="仿宋" w:eastAsia="仿宋" w:cs="仿宋"/>
          <w:sz w:val="28"/>
          <w:szCs w:val="28"/>
          <w:lang w:val="en-US" w:eastAsia="zh-CN"/>
        </w:rPr>
        <w:t>区</w:t>
      </w:r>
      <w:r>
        <w:rPr>
          <w:rFonts w:hint="eastAsia" w:ascii="仿宋" w:hAnsi="仿宋" w:eastAsia="仿宋" w:cs="仿宋"/>
          <w:sz w:val="28"/>
          <w:szCs w:val="28"/>
        </w:rPr>
        <w:t>实际情况，组织开展了秸秆禁烧区和限烧区划定工作。</w:t>
      </w:r>
    </w:p>
    <w:p>
      <w:pPr>
        <w:pStyle w:val="3"/>
        <w:bidi w:val="0"/>
        <w:ind w:firstLine="321" w:firstLineChars="100"/>
        <w:rPr>
          <w:rFonts w:hint="eastAsia"/>
        </w:rPr>
      </w:pPr>
      <w:bookmarkStart w:id="32" w:name="_Toc6272"/>
      <w:r>
        <w:rPr>
          <w:rFonts w:hint="eastAsia"/>
        </w:rPr>
        <w:t>1.2意义与目的</w:t>
      </w:r>
      <w:bookmarkEnd w:id="32"/>
    </w:p>
    <w:p>
      <w:pPr>
        <w:ind w:firstLine="560" w:firstLineChars="200"/>
        <w:rPr>
          <w:rFonts w:hint="eastAsia" w:ascii="仿宋" w:hAnsi="仿宋" w:eastAsia="仿宋" w:cs="仿宋"/>
          <w:sz w:val="28"/>
          <w:szCs w:val="28"/>
        </w:rPr>
      </w:pPr>
      <w:r>
        <w:rPr>
          <w:rFonts w:hint="eastAsia" w:ascii="仿宋" w:hAnsi="仿宋" w:eastAsia="仿宋" w:cs="仿宋"/>
          <w:sz w:val="28"/>
          <w:szCs w:val="28"/>
        </w:rPr>
        <w:t>科学划定秸秆禁烧区和限烧区是大气污染防治的重要工作，是控制农业面源和秸秆就地焚烧污染、保障生态环境安全及改善生态环境治理的重大举措。本方案明确了禁止露天焚烧的秸秆等废弃物种类，规定了禁烧区的划定范围，对改善全</w:t>
      </w:r>
      <w:r>
        <w:rPr>
          <w:rFonts w:hint="eastAsia" w:ascii="仿宋" w:hAnsi="仿宋" w:eastAsia="仿宋" w:cs="仿宋"/>
          <w:sz w:val="28"/>
          <w:szCs w:val="28"/>
          <w:lang w:eastAsia="zh-CN"/>
        </w:rPr>
        <w:t>区</w:t>
      </w:r>
      <w:r>
        <w:rPr>
          <w:rFonts w:hint="eastAsia" w:ascii="仿宋" w:hAnsi="仿宋" w:eastAsia="仿宋" w:cs="仿宋"/>
          <w:sz w:val="28"/>
          <w:szCs w:val="28"/>
        </w:rPr>
        <w:t>农作物秸秆焚烧致使的空气质量下降，遏制傍晚和夜间时段空气质量数据迅猛抬升，确保细颗粒物（PM2.5）年均浓度考核目标的完成，为进一步改善城乡空气环境质量，防止秸秆露天焚烧导致空气污染，保障人民群众身体健康，维护公共安全具有重要的意义和深远影响。</w:t>
      </w:r>
    </w:p>
    <w:p>
      <w:pPr>
        <w:pStyle w:val="3"/>
        <w:bidi w:val="0"/>
        <w:ind w:firstLine="321" w:firstLineChars="100"/>
        <w:rPr>
          <w:rFonts w:hint="eastAsia"/>
        </w:rPr>
      </w:pPr>
      <w:bookmarkStart w:id="33" w:name="_Toc19568"/>
      <w:r>
        <w:rPr>
          <w:rFonts w:hint="eastAsia"/>
        </w:rPr>
        <w:t>1.3指导思想</w:t>
      </w:r>
      <w:bookmarkEnd w:id="33"/>
    </w:p>
    <w:p>
      <w:pPr>
        <w:ind w:firstLine="560" w:firstLineChars="200"/>
        <w:rPr>
          <w:rFonts w:hint="eastAsia" w:ascii="仿宋" w:hAnsi="仿宋" w:eastAsia="仿宋" w:cs="仿宋"/>
          <w:sz w:val="28"/>
          <w:szCs w:val="28"/>
        </w:rPr>
      </w:pPr>
      <w:r>
        <w:rPr>
          <w:rFonts w:hint="eastAsia" w:ascii="仿宋" w:hAnsi="仿宋" w:eastAsia="仿宋" w:cs="仿宋"/>
          <w:sz w:val="28"/>
          <w:szCs w:val="28"/>
        </w:rPr>
        <w:t>坚持以习近平生态文明思想为指导，全面贯彻党的二十大精神，以全面落实城镇化、工业化、农业现代化带动发展战略为指导思想，按照建设生态文明、加强生态环境保护、提高可持续发展能力的要求和部署，科学划定秸秆禁烧区和限烧区。以保障生态环境安全、控制农业面源污染和秸秆焚烧为目的，以统筹兼顾、科学可行、依法合规、以人为本为基本原则，以区域总体规划、土地利用规划、国土空间规划、交通规划、重要基础设施为依据，将高铁、高速、国道、省道、特殊保护区域、人口集中区等区域作为重点，合理划定秸秆禁烧区范围，加强环境监管，落实秸秆禁烧区污染防治工作要求。</w:t>
      </w:r>
    </w:p>
    <w:p>
      <w:pPr>
        <w:pStyle w:val="3"/>
        <w:bidi w:val="0"/>
        <w:ind w:firstLine="321" w:firstLineChars="100"/>
        <w:rPr>
          <w:rFonts w:hint="eastAsia"/>
        </w:rPr>
      </w:pPr>
      <w:bookmarkStart w:id="34" w:name="_Toc6829"/>
      <w:r>
        <w:rPr>
          <w:rFonts w:hint="eastAsia"/>
        </w:rPr>
        <w:t>1.4划定原则</w:t>
      </w:r>
      <w:bookmarkEnd w:id="34"/>
    </w:p>
    <w:p>
      <w:pPr>
        <w:ind w:firstLine="560" w:firstLineChars="200"/>
        <w:outlineLvl w:val="2"/>
        <w:rPr>
          <w:rFonts w:hint="eastAsia" w:ascii="仿宋" w:hAnsi="仿宋" w:eastAsia="仿宋" w:cs="仿宋"/>
          <w:sz w:val="28"/>
          <w:szCs w:val="28"/>
        </w:rPr>
      </w:pPr>
      <w:bookmarkStart w:id="35" w:name="_Toc5565"/>
      <w:bookmarkStart w:id="36" w:name="_Toc20731"/>
      <w:r>
        <w:rPr>
          <w:rFonts w:hint="eastAsia" w:ascii="仿宋" w:hAnsi="仿宋" w:eastAsia="仿宋" w:cs="仿宋"/>
          <w:sz w:val="28"/>
          <w:szCs w:val="28"/>
        </w:rPr>
        <w:t>（1）合理性原则</w:t>
      </w:r>
      <w:bookmarkEnd w:id="35"/>
      <w:bookmarkEnd w:id="36"/>
    </w:p>
    <w:p>
      <w:pPr>
        <w:ind w:firstLine="560" w:firstLineChars="200"/>
        <w:rPr>
          <w:rFonts w:hint="eastAsia" w:ascii="仿宋" w:hAnsi="仿宋" w:eastAsia="仿宋" w:cs="仿宋"/>
          <w:sz w:val="28"/>
          <w:szCs w:val="28"/>
        </w:rPr>
      </w:pPr>
      <w:r>
        <w:rPr>
          <w:rFonts w:hint="eastAsia" w:ascii="仿宋" w:hAnsi="仿宋" w:eastAsia="仿宋" w:cs="仿宋"/>
          <w:sz w:val="28"/>
          <w:szCs w:val="28"/>
        </w:rPr>
        <w:t>秸秆禁烧区和限烧区的划定应根据地形条件、气象条件、环流通道、居民集中居住区及上风向、交通主干线（高速、铁路、国省道）、易燃易爆物品生产、储存、经营单位，输变电设施、医疗机构、学校等重点区域及环境空气质量状况，结合地方实际与管理需求，合理划定，尽量连续成片，避免破碎化。</w:t>
      </w:r>
    </w:p>
    <w:p>
      <w:pPr>
        <w:ind w:firstLine="560" w:firstLineChars="200"/>
        <w:outlineLvl w:val="2"/>
        <w:rPr>
          <w:rFonts w:hint="eastAsia" w:ascii="仿宋" w:hAnsi="仿宋" w:eastAsia="仿宋" w:cs="仿宋"/>
          <w:sz w:val="28"/>
          <w:szCs w:val="28"/>
        </w:rPr>
      </w:pPr>
      <w:bookmarkStart w:id="37" w:name="_Toc1981"/>
      <w:bookmarkStart w:id="38" w:name="_Toc28016"/>
      <w:r>
        <w:rPr>
          <w:rFonts w:hint="eastAsia" w:ascii="仿宋" w:hAnsi="仿宋" w:eastAsia="仿宋" w:cs="仿宋"/>
          <w:sz w:val="28"/>
          <w:szCs w:val="28"/>
        </w:rPr>
        <w:t>（2）合法性原则</w:t>
      </w:r>
      <w:bookmarkEnd w:id="37"/>
      <w:bookmarkEnd w:id="38"/>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秸秆禁烧区划定与其他法律法规中关于区域划分冲突的，以其他法律法规为准。</w:t>
      </w:r>
    </w:p>
    <w:p>
      <w:pPr>
        <w:ind w:firstLine="560" w:firstLineChars="200"/>
        <w:outlineLvl w:val="2"/>
        <w:rPr>
          <w:rFonts w:hint="eastAsia" w:ascii="仿宋" w:hAnsi="仿宋" w:eastAsia="仿宋" w:cs="仿宋"/>
          <w:sz w:val="28"/>
          <w:szCs w:val="28"/>
        </w:rPr>
      </w:pPr>
      <w:bookmarkStart w:id="39" w:name="_Toc18516"/>
      <w:bookmarkStart w:id="40" w:name="_Toc12964"/>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）动态性原则</w:t>
      </w:r>
      <w:bookmarkEnd w:id="39"/>
      <w:bookmarkEnd w:id="40"/>
    </w:p>
    <w:p>
      <w:pPr>
        <w:ind w:firstLine="560" w:firstLineChars="200"/>
        <w:rPr>
          <w:rFonts w:hint="eastAsia" w:ascii="仿宋" w:hAnsi="仿宋" w:eastAsia="仿宋" w:cs="仿宋"/>
          <w:sz w:val="28"/>
          <w:szCs w:val="28"/>
        </w:rPr>
      </w:pPr>
      <w:r>
        <w:rPr>
          <w:rFonts w:hint="eastAsia" w:ascii="仿宋" w:hAnsi="仿宋" w:eastAsia="仿宋" w:cs="仿宋"/>
          <w:sz w:val="28"/>
          <w:szCs w:val="28"/>
        </w:rPr>
        <w:t>秸秆禁烧区和限烧区应根据环境空气质量及土地利用变化情况进行动态调整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每年可以调整一次</w:t>
      </w:r>
      <w:r>
        <w:rPr>
          <w:rFonts w:hint="eastAsia" w:ascii="仿宋" w:hAnsi="仿宋" w:eastAsia="仿宋" w:cs="仿宋"/>
          <w:sz w:val="28"/>
          <w:szCs w:val="28"/>
        </w:rPr>
        <w:t>。</w:t>
      </w:r>
    </w:p>
    <w:p>
      <w:pPr>
        <w:pStyle w:val="3"/>
        <w:bidi w:val="0"/>
        <w:ind w:firstLine="321" w:firstLineChars="100"/>
        <w:rPr>
          <w:rFonts w:hint="eastAsia"/>
        </w:rPr>
      </w:pPr>
      <w:bookmarkStart w:id="41" w:name="_Toc18747"/>
      <w:r>
        <w:rPr>
          <w:rFonts w:hint="eastAsia"/>
        </w:rPr>
        <w:t>1.5划定范围</w:t>
      </w:r>
      <w:bookmarkEnd w:id="41"/>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本次划定范围为全区辖邵阳市</w:t>
      </w:r>
      <w:r>
        <w:rPr>
          <w:rFonts w:hint="default" w:ascii="仿宋" w:hAnsi="仿宋" w:eastAsia="仿宋" w:cs="仿宋"/>
          <w:sz w:val="28"/>
          <w:szCs w:val="28"/>
        </w:rPr>
        <w:t>双清区下辖9个街道、2个镇、1个乡，有</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"https://baike.baidu.com/item/%E5%85%B4%E9%9A%86%E8%A1%97%E9%81%93/10880965?fromModule=lemma_inlink"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兴隆街道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"https://baike.baidu.com/item/%E9%BE%99%E9%A1%BB%E5%A1%98%E8%A1%97%E9%81%93 /5952220?fromModule=lemma_inlink"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龙须塘街道 </w:t>
      </w:r>
      <w:r>
        <w:rPr>
          <w:rFonts w:hint="default" w:ascii="仿宋" w:hAnsi="仿宋" w:eastAsia="仿宋" w:cs="仿宋"/>
          <w:sz w:val="28"/>
          <w:szCs w:val="28"/>
        </w:rPr>
        <w:fldChar w:fldCharType="end"/>
      </w:r>
      <w:r>
        <w:rPr>
          <w:rFonts w:hint="default" w:ascii="仿宋" w:hAnsi="仿宋" w:eastAsia="仿宋" w:cs="仿宋"/>
          <w:sz w:val="28"/>
          <w:szCs w:val="28"/>
        </w:rPr>
        <w:t>，</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"https://baike.baidu.com/item/%E6%B1%BD%E8%BD%A6%E7%AB%99%E8%A1%97%E9%81%93 /15714500?fromModule=lemma_inlink"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汽车站街道 </w:t>
      </w:r>
      <w:r>
        <w:rPr>
          <w:rFonts w:hint="default" w:ascii="仿宋" w:hAnsi="仿宋" w:eastAsia="仿宋" w:cs="仿宋"/>
          <w:sz w:val="28"/>
          <w:szCs w:val="28"/>
        </w:rPr>
        <w:fldChar w:fldCharType="end"/>
      </w:r>
      <w:r>
        <w:rPr>
          <w:rFonts w:hint="default" w:ascii="仿宋" w:hAnsi="仿宋" w:eastAsia="仿宋" w:cs="仿宋"/>
          <w:sz w:val="28"/>
          <w:szCs w:val="28"/>
        </w:rPr>
        <w:t>，</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"https://baike.baidu.com/item/%E5%B0%8F%E6%B1%9F%E6%B9%96%E8%A1%97%E9%81%93 /5952303?fromModule=lemma_inlink"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小江湖街道 </w:t>
      </w:r>
      <w:r>
        <w:rPr>
          <w:rFonts w:hint="default" w:ascii="仿宋" w:hAnsi="仿宋" w:eastAsia="仿宋" w:cs="仿宋"/>
          <w:sz w:val="28"/>
          <w:szCs w:val="28"/>
        </w:rPr>
        <w:fldChar w:fldCharType="end"/>
      </w:r>
      <w:r>
        <w:rPr>
          <w:rFonts w:hint="default" w:ascii="仿宋" w:hAnsi="仿宋" w:eastAsia="仿宋" w:cs="仿宋"/>
          <w:sz w:val="28"/>
          <w:szCs w:val="28"/>
        </w:rPr>
        <w:t>，</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"https://baike.baidu.com/item/%E4%B8%9C%E9%A3%8E%E8%B7%AF%E8%A1%97%E9%81%93/15878047?fromModule=lemma_inlink"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东风路街道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"https://baike.baidu.com/item/%E6%A1%A5%E5%A4%B4%E8%A1%97%E9%81%93/57418964?fromModule=lemma_inlink"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桥头街道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"https://baike.baidu.com/item/%E6%BB%A8%E6%B1%9F%E8%A1%97%E9%81%93/57418914?fromModule=lemma_inlink"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滨江街道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"https://baike.baidu.com/item/%E7%9F%B3%E6%A1%A5%E8%A1%97%E9%81%93/57418877?fromModule=lemma_inlink"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石桥街道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"https://baike.baidu.com/item/%E7%88%B1%E8%8E%B2%E8%A1%97%E9%81%93/57419075?fromModule=lemma_inlink"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爱莲街道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"https://baike.baidu.com/item/%E9%AB%98%E5%B4%87%E5%B1%B1%E9%95%87/4241139?fromModule=lemma_inlink"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高崇山镇</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"https://baike.baidu.com/item/%E6%B8%A1%E5%A4%B4%E6%A1%A5%E9%95%87/7068570?fromModule=lemma_inlink"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渡头桥镇</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"https://baike.baidu.com/item/%E7%81%AB%E8%BD%A6%E7%AB%99%E4%B9%A1/4241086?fromModule=lemma_inlink"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火车站乡</w:t>
      </w:r>
      <w:r>
        <w:rPr>
          <w:rFonts w:hint="default" w:ascii="仿宋" w:hAnsi="仿宋" w:eastAsia="仿宋" w:cs="仿宋"/>
          <w:sz w:val="28"/>
          <w:szCs w:val="28"/>
        </w:rPr>
        <w:fldChar w:fldCharType="end"/>
      </w:r>
      <w:r>
        <w:rPr>
          <w:rFonts w:hint="eastAsia" w:ascii="仿宋" w:hAnsi="仿宋" w:eastAsia="仿宋" w:cs="仿宋"/>
          <w:sz w:val="28"/>
          <w:szCs w:val="28"/>
          <w:lang w:eastAsia="zh-CN"/>
        </w:rPr>
        <w:t>。</w:t>
      </w:r>
    </w:p>
    <w:p>
      <w:pPr>
        <w:pStyle w:val="2"/>
        <w:bidi w:val="0"/>
        <w:jc w:val="center"/>
        <w:rPr>
          <w:rFonts w:hint="eastAsia"/>
        </w:rPr>
      </w:pPr>
      <w:bookmarkStart w:id="42" w:name="_Toc28943"/>
      <w:r>
        <w:rPr>
          <w:rFonts w:hint="eastAsia"/>
        </w:rPr>
        <w:t>第2章 划定依据与程序</w:t>
      </w:r>
      <w:bookmarkEnd w:id="42"/>
    </w:p>
    <w:p>
      <w:pPr>
        <w:pStyle w:val="3"/>
        <w:bidi w:val="0"/>
        <w:ind w:firstLine="321" w:firstLineChars="100"/>
        <w:rPr>
          <w:rFonts w:hint="eastAsia"/>
        </w:rPr>
      </w:pPr>
      <w:bookmarkStart w:id="43" w:name="_Toc7220"/>
      <w:r>
        <w:rPr>
          <w:rFonts w:hint="eastAsia"/>
        </w:rPr>
        <w:t>2.1 划定依据</w:t>
      </w:r>
      <w:bookmarkEnd w:id="43"/>
    </w:p>
    <w:p>
      <w:pPr>
        <w:ind w:firstLine="560" w:firstLineChars="200"/>
        <w:rPr>
          <w:rFonts w:hint="eastAsia" w:ascii="仿宋" w:hAnsi="仿宋" w:eastAsia="仿宋" w:cs="仿宋"/>
          <w:sz w:val="28"/>
          <w:szCs w:val="28"/>
        </w:rPr>
      </w:pPr>
      <w:r>
        <w:rPr>
          <w:rFonts w:hint="eastAsia" w:ascii="仿宋" w:hAnsi="仿宋" w:eastAsia="仿宋" w:cs="仿宋"/>
          <w:sz w:val="28"/>
          <w:szCs w:val="28"/>
        </w:rPr>
        <w:t>（1）《中华人民共和国环境保护法》（2015年1月1日）；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（2）《中华人民共和国大气污染防治法》（2018年修订）；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（3）《中华人民共和国森林法》（2019年修订）；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（4）《森林防火条例》（2008年修订）；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（5）《国家发展和改革委员会、财政部、农业农村部、生态环境部</w:t>
      </w:r>
      <w:r>
        <w:rPr>
          <w:rFonts w:hint="eastAsia" w:ascii="仿宋" w:hAnsi="仿宋" w:eastAsia="仿宋" w:cs="仿宋"/>
          <w:sz w:val="28"/>
          <w:szCs w:val="28"/>
          <w:lang w:eastAsia="zh-CN"/>
        </w:rPr>
        <w:t>《</w:t>
      </w:r>
      <w:r>
        <w:rPr>
          <w:rFonts w:hint="eastAsia" w:ascii="仿宋" w:hAnsi="仿宋" w:eastAsia="仿宋" w:cs="仿宋"/>
          <w:sz w:val="28"/>
          <w:szCs w:val="28"/>
        </w:rPr>
        <w:t>关于进一步加快推进农作物秸秆综合利用和焚烧工作的通知》（发改环资〔2015〕2651号）；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（6）《国务院关于印发打赢蓝天保卫战三年行动计划的通知》（国发〔2018〕22号）；</w:t>
      </w:r>
    </w:p>
    <w:p>
      <w:pPr>
        <w:ind w:firstLine="560" w:firstLineChars="200"/>
        <w:outlineLvl w:val="2"/>
        <w:rPr>
          <w:rFonts w:hint="eastAsia" w:ascii="仿宋" w:hAnsi="仿宋" w:eastAsia="仿宋" w:cs="仿宋"/>
          <w:sz w:val="28"/>
          <w:szCs w:val="28"/>
        </w:rPr>
      </w:pPr>
      <w:bookmarkStart w:id="44" w:name="_Toc22120"/>
      <w:bookmarkStart w:id="45" w:name="_Toc19032"/>
      <w:bookmarkStart w:id="46" w:name="_Toc30223"/>
      <w:bookmarkStart w:id="47" w:name="_Toc5379"/>
      <w:bookmarkStart w:id="48" w:name="_Toc7418"/>
      <w:bookmarkStart w:id="49" w:name="_Toc17046"/>
      <w:bookmarkStart w:id="50" w:name="_Toc3914"/>
      <w:bookmarkStart w:id="51" w:name="_Toc22020"/>
      <w:bookmarkStart w:id="52" w:name="_Toc25484"/>
      <w:bookmarkStart w:id="53" w:name="_Toc25701"/>
      <w:r>
        <w:rPr>
          <w:rFonts w:hint="eastAsia" w:ascii="仿宋" w:hAnsi="仿宋" w:eastAsia="仿宋" w:cs="仿宋"/>
          <w:sz w:val="28"/>
          <w:szCs w:val="28"/>
        </w:rPr>
        <w:t>（7）《湖南省大气污染防治条例》（2017年修订）</w:t>
      </w:r>
      <w:bookmarkEnd w:id="44"/>
      <w:bookmarkEnd w:id="45"/>
      <w:bookmarkEnd w:id="46"/>
      <w:bookmarkEnd w:id="47"/>
      <w:bookmarkEnd w:id="48"/>
      <w:bookmarkEnd w:id="49"/>
      <w:bookmarkEnd w:id="50"/>
      <w:bookmarkEnd w:id="51"/>
      <w:bookmarkEnd w:id="52"/>
      <w:bookmarkEnd w:id="53"/>
    </w:p>
    <w:p>
      <w:pPr>
        <w:ind w:firstLine="560" w:firstLineChars="200"/>
        <w:outlineLvl w:val="2"/>
        <w:rPr>
          <w:rFonts w:hint="eastAsia" w:ascii="仿宋" w:hAnsi="仿宋" w:eastAsia="仿宋" w:cs="仿宋"/>
          <w:sz w:val="28"/>
          <w:szCs w:val="28"/>
        </w:rPr>
      </w:pPr>
      <w:bookmarkStart w:id="54" w:name="_Toc8947"/>
      <w:bookmarkStart w:id="55" w:name="_Toc11345"/>
      <w:bookmarkStart w:id="56" w:name="_Toc32366"/>
      <w:bookmarkStart w:id="57" w:name="_Toc3609"/>
      <w:bookmarkStart w:id="58" w:name="_Toc26864"/>
      <w:bookmarkStart w:id="59" w:name="_Toc16753"/>
      <w:bookmarkStart w:id="60" w:name="_Toc32198"/>
      <w:bookmarkStart w:id="61" w:name="_Toc5478"/>
      <w:bookmarkStart w:id="62" w:name="_Toc15740"/>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）《邵阳市秸秆露天禁烧区划定工作</w:t>
      </w:r>
      <w:bookmarkStart w:id="161" w:name="_GoBack"/>
      <w:bookmarkEnd w:id="161"/>
      <w:r>
        <w:rPr>
          <w:rFonts w:hint="eastAsia" w:ascii="仿宋" w:hAnsi="仿宋" w:eastAsia="仿宋" w:cs="仿宋"/>
          <w:sz w:val="28"/>
          <w:szCs w:val="28"/>
        </w:rPr>
        <w:t>方案》的通知</w:t>
      </w:r>
      <w:bookmarkEnd w:id="54"/>
      <w:bookmarkEnd w:id="55"/>
      <w:bookmarkEnd w:id="56"/>
      <w:bookmarkEnd w:id="57"/>
      <w:bookmarkEnd w:id="58"/>
      <w:bookmarkEnd w:id="59"/>
      <w:bookmarkEnd w:id="60"/>
      <w:bookmarkEnd w:id="61"/>
      <w:bookmarkEnd w:id="62"/>
    </w:p>
    <w:p>
      <w:pPr>
        <w:pStyle w:val="3"/>
        <w:bidi w:val="0"/>
        <w:ind w:firstLine="321" w:firstLineChars="100"/>
        <w:rPr>
          <w:rFonts w:hint="eastAsia"/>
        </w:rPr>
      </w:pPr>
      <w:bookmarkStart w:id="63" w:name="_Toc13965"/>
      <w:r>
        <w:rPr>
          <w:rFonts w:hint="eastAsia"/>
        </w:rPr>
        <w:t>2.</w:t>
      </w:r>
      <w:r>
        <w:rPr>
          <w:rFonts w:hint="eastAsia"/>
          <w:lang w:val="en-US" w:eastAsia="zh-CN"/>
        </w:rPr>
        <w:t>2</w:t>
      </w:r>
      <w:r>
        <w:rPr>
          <w:rFonts w:hint="eastAsia"/>
        </w:rPr>
        <w:t>划定工作程序</w:t>
      </w:r>
      <w:bookmarkEnd w:id="63"/>
    </w:p>
    <w:p>
      <w:pPr>
        <w:ind w:firstLine="560" w:firstLineChars="200"/>
        <w:rPr>
          <w:rFonts w:hint="eastAsia" w:ascii="仿宋" w:hAnsi="仿宋" w:eastAsia="仿宋" w:cs="仿宋"/>
          <w:sz w:val="28"/>
          <w:szCs w:val="28"/>
        </w:rPr>
      </w:pPr>
      <w:r>
        <w:rPr>
          <w:rFonts w:hint="eastAsia" w:ascii="仿宋" w:hAnsi="仿宋" w:eastAsia="仿宋" w:cs="仿宋"/>
          <w:sz w:val="28"/>
          <w:szCs w:val="28"/>
        </w:rPr>
        <w:t>（1）制订工作方案。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（2）收集禁烧区和限烧区工作资料、合适比例的工作地图。</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解读《湖 南 省 农 业 农 村 厅关于征求《湖南省秸秆综合利用和露天焚烧管理若干规定（征求意见第二稿）》意见的函和邵阳市农业农村局关于印发《邵阳市秸秆露天禁烧区划定工作方案》的通知适用区域含义和划分规则。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熟悉县域总体规划、乡镇总体规划和土地利用总体规划。</w:t>
      </w:r>
      <w:r>
        <w:rPr>
          <w:rFonts w:hint="eastAsia" w:ascii="仿宋" w:hAnsi="仿宋" w:eastAsia="仿宋" w:cs="仿宋"/>
          <w:sz w:val="28"/>
          <w:szCs w:val="28"/>
          <w:lang w:val="en-US" w:eastAsia="zh-CN"/>
        </w:rPr>
        <w:t>从城乡规划、土地利用规划、国土空间规划、国土三调数据或卫星地图中划分出已建成区的区域。</w:t>
      </w:r>
    </w:p>
    <w:p>
      <w:pPr>
        <w:ind w:firstLine="560" w:firstLineChars="200"/>
        <w:outlineLvl w:val="2"/>
        <w:rPr>
          <w:rFonts w:hint="eastAsia" w:ascii="仿宋" w:hAnsi="仿宋" w:eastAsia="仿宋" w:cs="仿宋"/>
          <w:sz w:val="28"/>
          <w:szCs w:val="28"/>
        </w:rPr>
      </w:pPr>
      <w:bookmarkStart w:id="64" w:name="_Toc14476"/>
      <w:bookmarkStart w:id="65" w:name="_Toc31705"/>
      <w:bookmarkStart w:id="66" w:name="_Toc28168"/>
      <w:bookmarkStart w:id="67" w:name="_Toc21825"/>
      <w:bookmarkStart w:id="68" w:name="_Toc24120"/>
      <w:bookmarkStart w:id="69" w:name="_Toc9252"/>
      <w:r>
        <w:rPr>
          <w:rFonts w:hint="eastAsia" w:ascii="仿宋" w:hAnsi="仿宋" w:eastAsia="仿宋" w:cs="仿宋"/>
          <w:sz w:val="28"/>
          <w:szCs w:val="28"/>
        </w:rPr>
        <w:t>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收集合适比例的工作底图。</w:t>
      </w:r>
      <w:bookmarkEnd w:id="64"/>
      <w:bookmarkEnd w:id="65"/>
      <w:bookmarkEnd w:id="66"/>
      <w:bookmarkEnd w:id="67"/>
      <w:bookmarkEnd w:id="68"/>
      <w:bookmarkEnd w:id="69"/>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）在调查、分析的基础上按照划分原则和依据进行初步划分，确立禁烧区划单元。</w:t>
      </w:r>
    </w:p>
    <w:p>
      <w:pPr>
        <w:ind w:firstLine="560" w:firstLineChars="200"/>
        <w:outlineLvl w:val="2"/>
        <w:rPr>
          <w:rFonts w:hint="eastAsia" w:ascii="仿宋" w:hAnsi="仿宋" w:eastAsia="仿宋" w:cs="仿宋"/>
          <w:sz w:val="28"/>
          <w:szCs w:val="28"/>
        </w:rPr>
      </w:pPr>
      <w:bookmarkStart w:id="70" w:name="_Toc1007"/>
      <w:bookmarkStart w:id="71" w:name="_Toc31615"/>
      <w:bookmarkStart w:id="72" w:name="_Toc19500"/>
      <w:bookmarkStart w:id="73" w:name="_Toc9496"/>
      <w:bookmarkStart w:id="74" w:name="_Toc27577"/>
      <w:bookmarkStart w:id="75" w:name="_Toc15593"/>
      <w:bookmarkStart w:id="76" w:name="_Toc25201"/>
      <w:bookmarkStart w:id="77" w:name="_Toc16818"/>
      <w:bookmarkStart w:id="78" w:name="_Toc20781"/>
      <w:bookmarkStart w:id="79" w:name="_Toc20166"/>
      <w:r>
        <w:rPr>
          <w:rFonts w:hint="eastAsia" w:ascii="仿宋" w:hAnsi="仿宋" w:eastAsia="仿宋" w:cs="仿宋"/>
          <w:sz w:val="28"/>
          <w:szCs w:val="28"/>
        </w:rPr>
        <w:t>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与土地利用相协调，结合山脉、河流、地貌单元、植被</w:t>
      </w:r>
      <w:bookmarkEnd w:id="70"/>
      <w:r>
        <w:rPr>
          <w:rFonts w:hint="eastAsia" w:ascii="仿宋" w:hAnsi="仿宋" w:eastAsia="仿宋" w:cs="仿宋"/>
          <w:sz w:val="28"/>
          <w:szCs w:val="28"/>
        </w:rPr>
        <w:t>等要素保留自然地理边界，保持森林、农田、草地、湿地、河流等生态系统的完整性。</w:t>
      </w:r>
      <w:bookmarkEnd w:id="71"/>
      <w:bookmarkEnd w:id="72"/>
      <w:bookmarkEnd w:id="73"/>
      <w:bookmarkEnd w:id="74"/>
      <w:bookmarkEnd w:id="75"/>
      <w:bookmarkEnd w:id="76"/>
      <w:bookmarkEnd w:id="77"/>
      <w:bookmarkEnd w:id="78"/>
      <w:bookmarkEnd w:id="79"/>
    </w:p>
    <w:p>
      <w:pPr>
        <w:ind w:firstLine="560" w:firstLineChars="200"/>
        <w:rPr>
          <w:rFonts w:hint="eastAsia" w:ascii="仿宋" w:hAnsi="仿宋" w:eastAsia="仿宋" w:cs="仿宋"/>
          <w:sz w:val="28"/>
          <w:szCs w:val="28"/>
        </w:rPr>
      </w:pPr>
      <w:r>
        <w:rPr>
          <w:rFonts w:hint="eastAsia" w:ascii="仿宋" w:hAnsi="仿宋" w:eastAsia="仿宋" w:cs="仿宋"/>
          <w:sz w:val="28"/>
          <w:szCs w:val="28"/>
        </w:rPr>
        <w:t>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根据秸秆禁烧区分布图开展勘查,调查秸秆禁烧区内各类基础信息，包括所处的行政区域和地理信息、面积、边界点坐标等,进一步查明分布图上难以明确界定或具有争议性的边界，确定边界拐点地理坐标。</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根据秸秆禁烧区的地面勘查结果，在分布图上修订秸秆禁烧区块边界，形成秸秆禁烧区勘测定界图</w:t>
      </w:r>
      <w:r>
        <w:rPr>
          <w:rFonts w:hint="eastAsia" w:ascii="仿宋" w:hAnsi="仿宋" w:eastAsia="仿宋" w:cs="仿宋"/>
          <w:sz w:val="28"/>
          <w:szCs w:val="28"/>
          <w:lang w:eastAsia="zh-CN"/>
        </w:rPr>
        <w:t>。</w:t>
      </w:r>
    </w:p>
    <w:p>
      <w:pPr>
        <w:ind w:firstLine="280" w:firstLineChars="100"/>
        <w:outlineLvl w:val="2"/>
        <w:rPr>
          <w:rFonts w:hint="eastAsia" w:ascii="仿宋" w:hAnsi="仿宋" w:eastAsia="仿宋" w:cs="仿宋"/>
          <w:sz w:val="28"/>
          <w:szCs w:val="28"/>
        </w:rPr>
      </w:pPr>
      <w:bookmarkStart w:id="80" w:name="_Toc1118"/>
      <w:bookmarkStart w:id="81" w:name="_Toc14769"/>
      <w:bookmarkStart w:id="82" w:name="_Toc30592"/>
      <w:bookmarkStart w:id="83" w:name="_Toc25927"/>
      <w:bookmarkStart w:id="84" w:name="_Toc11393"/>
      <w:bookmarkStart w:id="85" w:name="_Toc1093"/>
      <w:bookmarkStart w:id="86" w:name="_Toc20638"/>
      <w:bookmarkStart w:id="87" w:name="_Toc32540"/>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）确定各区划单元的区域类型。</w:t>
      </w:r>
      <w:bookmarkEnd w:id="80"/>
      <w:bookmarkEnd w:id="81"/>
      <w:bookmarkEnd w:id="82"/>
      <w:bookmarkEnd w:id="83"/>
      <w:bookmarkEnd w:id="84"/>
      <w:bookmarkEnd w:id="85"/>
      <w:bookmarkEnd w:id="86"/>
      <w:bookmarkEnd w:id="87"/>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在明确秸秆禁烧区划分范围的基础上，充分考虑土地利用总体规划，城乡规划等因素，通过叠加分析和综合制图确定秸秆禁烧区划定方案</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秸秆禁烧区制图应以国家高精度遥感影像和土地利用数据为底图，结合交通道路图，城乡居民点分布图等，采用地理信息系统软件进行数据叠加、相交等处理，形成边界清晰的秸秆禁烧区分布图矢量数据。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）把多个区域类型相同相邻的单元连成片，充分利用县、</w:t>
      </w:r>
      <w:r>
        <w:rPr>
          <w:rFonts w:hint="eastAsia" w:ascii="仿宋" w:hAnsi="仿宋" w:eastAsia="仿宋" w:cs="仿宋"/>
          <w:sz w:val="28"/>
          <w:szCs w:val="28"/>
          <w:lang w:val="en-US" w:eastAsia="zh-CN"/>
        </w:rPr>
        <w:t>乡镇</w:t>
      </w:r>
      <w:r>
        <w:rPr>
          <w:rFonts w:hint="eastAsia" w:ascii="仿宋" w:hAnsi="仿宋" w:eastAsia="仿宋" w:cs="仿宋"/>
          <w:sz w:val="28"/>
          <w:szCs w:val="28"/>
        </w:rPr>
        <w:t>、行政村边界、规划区边界、道路、河流、沟壑、山脊等自然地形作为区域边界。</w:t>
      </w:r>
    </w:p>
    <w:p>
      <w:pPr>
        <w:ind w:firstLine="560" w:firstLineChars="200"/>
        <w:outlineLvl w:val="2"/>
        <w:rPr>
          <w:rFonts w:hint="eastAsia" w:ascii="仿宋" w:hAnsi="仿宋" w:eastAsia="仿宋" w:cs="仿宋"/>
          <w:sz w:val="28"/>
          <w:szCs w:val="28"/>
        </w:rPr>
      </w:pPr>
      <w:bookmarkStart w:id="88" w:name="_Toc26810"/>
      <w:bookmarkStart w:id="89" w:name="_Toc29199"/>
      <w:bookmarkStart w:id="90" w:name="_Toc14925"/>
      <w:bookmarkStart w:id="91" w:name="_Toc24448"/>
      <w:bookmarkStart w:id="92" w:name="_Toc8343"/>
      <w:bookmarkStart w:id="93" w:name="_Toc22127"/>
      <w:bookmarkStart w:id="94" w:name="_Toc7416"/>
      <w:bookmarkStart w:id="95" w:name="_Toc2087"/>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）完成秸秆禁烧区和限烧区划定初稿。</w:t>
      </w:r>
      <w:bookmarkEnd w:id="88"/>
      <w:bookmarkEnd w:id="89"/>
      <w:bookmarkEnd w:id="90"/>
      <w:bookmarkEnd w:id="91"/>
      <w:bookmarkEnd w:id="92"/>
      <w:bookmarkEnd w:id="93"/>
      <w:bookmarkEnd w:id="94"/>
      <w:bookmarkEnd w:id="95"/>
    </w:p>
    <w:p>
      <w:pPr>
        <w:ind w:firstLine="560" w:firstLineChars="200"/>
        <w:rPr>
          <w:rFonts w:hint="eastAsia" w:ascii="仿宋" w:hAnsi="仿宋" w:eastAsia="仿宋" w:cs="仿宋"/>
          <w:sz w:val="28"/>
          <w:szCs w:val="28"/>
        </w:rPr>
      </w:pPr>
      <w:r>
        <w:rPr>
          <w:rFonts w:hint="eastAsia" w:ascii="仿宋" w:hAnsi="仿宋" w:eastAsia="仿宋" w:cs="仿宋"/>
          <w:sz w:val="28"/>
          <w:szCs w:val="28"/>
        </w:rPr>
        <w:t>秸秆禁烧区划定包括图件、文本、数据、统计表等。其中，图件以县(市)区为出图单位，比例尺为1:5000;文本主要是以文字报告形式表述秸秆禁烧区划的主要内容;数据是指适用于地理信息系统软件的原始数据(矢量图、属性表等)及输出数据(矢量图、属性表等);统计表包括行政区划面积、禁烧区面积、限烧区面积、主要农作物种类和种植面积等。图件是文本的配套材料，与文本具有同等效力，并能满足管理需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秸秆禁烧区图件制作在地理信息系统软件下数字化成图，采用地图学规范方法表示，层次清晰，图例、注记齐全，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（7）对初步划定的方案进行适当调整，确定最终秸秆禁烧区划定方案。</w:t>
      </w:r>
    </w:p>
    <w:p>
      <w:pPr>
        <w:ind w:firstLine="560" w:firstLineChars="200"/>
        <w:outlineLvl w:val="2"/>
        <w:rPr>
          <w:rFonts w:hint="eastAsia" w:ascii="仿宋" w:hAnsi="仿宋" w:eastAsia="仿宋" w:cs="仿宋"/>
          <w:sz w:val="28"/>
          <w:szCs w:val="28"/>
        </w:rPr>
      </w:pPr>
      <w:bookmarkStart w:id="96" w:name="_Toc6383"/>
      <w:bookmarkStart w:id="97" w:name="_Toc2564"/>
      <w:bookmarkStart w:id="98" w:name="_Toc28158"/>
      <w:bookmarkStart w:id="99" w:name="_Toc16011"/>
      <w:bookmarkStart w:id="100" w:name="_Toc22466"/>
      <w:bookmarkStart w:id="101" w:name="_Toc21572"/>
      <w:bookmarkStart w:id="102" w:name="_Toc15217"/>
      <w:bookmarkStart w:id="103" w:name="_Toc23423"/>
      <w:r>
        <w:rPr>
          <w:rFonts w:hint="eastAsia" w:ascii="仿宋" w:hAnsi="仿宋" w:eastAsia="仿宋" w:cs="仿宋"/>
          <w:sz w:val="28"/>
          <w:szCs w:val="28"/>
        </w:rPr>
        <w:t>（8）绘制</w:t>
      </w:r>
      <w:r>
        <w:rPr>
          <w:rFonts w:hint="eastAsia" w:ascii="仿宋" w:hAnsi="仿宋" w:eastAsia="仿宋" w:cs="仿宋"/>
          <w:sz w:val="28"/>
          <w:szCs w:val="28"/>
          <w:lang w:val="en-US" w:eastAsia="zh-CN"/>
        </w:rPr>
        <w:t>双清区</w:t>
      </w:r>
      <w:r>
        <w:rPr>
          <w:rFonts w:hint="eastAsia" w:ascii="仿宋" w:hAnsi="仿宋" w:eastAsia="仿宋" w:cs="仿宋"/>
          <w:sz w:val="28"/>
          <w:szCs w:val="28"/>
        </w:rPr>
        <w:t>秸秆禁烧区和限烧区划分图。</w:t>
      </w:r>
      <w:bookmarkEnd w:id="96"/>
      <w:bookmarkEnd w:id="97"/>
      <w:bookmarkEnd w:id="98"/>
      <w:bookmarkEnd w:id="99"/>
      <w:bookmarkEnd w:id="100"/>
      <w:bookmarkEnd w:id="101"/>
      <w:bookmarkEnd w:id="102"/>
      <w:bookmarkEnd w:id="103"/>
    </w:p>
    <w:p>
      <w:pP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274310" cy="4485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b="10346"/>
                    <a:stretch>
                      <a:fillRect/>
                    </a:stretch>
                  </pic:blipFill>
                  <pic:spPr>
                    <a:xfrm>
                      <a:off x="0" y="0"/>
                      <a:ext cx="5274310" cy="4485005"/>
                    </a:xfrm>
                    <a:prstGeom prst="rect">
                      <a:avLst/>
                    </a:prstGeom>
                    <a:noFill/>
                    <a:ln>
                      <a:noFill/>
                    </a:ln>
                  </pic:spPr>
                </pic:pic>
              </a:graphicData>
            </a:graphic>
          </wp:inline>
        </w:drawing>
      </w:r>
    </w:p>
    <w:p>
      <w:pPr>
        <w:rPr>
          <w:rFonts w:hint="eastAsia" w:asciiTheme="majorEastAsia" w:hAnsiTheme="majorEastAsia" w:eastAsiaTheme="majorEastAsia" w:cstheme="majorEastAsia"/>
          <w:sz w:val="16"/>
          <w:szCs w:val="16"/>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b/>
          <w:bCs/>
          <w:sz w:val="16"/>
          <w:szCs w:val="16"/>
        </w:rPr>
        <w:t>划定工作程序图</w:t>
      </w:r>
    </w:p>
    <w:p>
      <w:pPr>
        <w:pStyle w:val="3"/>
        <w:bidi w:val="0"/>
        <w:ind w:firstLine="321" w:firstLineChars="100"/>
        <w:rPr>
          <w:rFonts w:hint="eastAsia" w:ascii="仿宋" w:hAnsi="仿宋" w:eastAsia="仿宋" w:cs="仿宋"/>
          <w:szCs w:val="28"/>
        </w:rPr>
      </w:pPr>
      <w:bookmarkStart w:id="104" w:name="_Toc26557"/>
      <w:r>
        <w:rPr>
          <w:rFonts w:hint="eastAsia"/>
        </w:rPr>
        <w:t>2.3术语与定义</w:t>
      </w:r>
      <w:bookmarkEnd w:id="104"/>
    </w:p>
    <w:p>
      <w:pPr>
        <w:ind w:firstLine="560" w:firstLineChars="200"/>
        <w:rPr>
          <w:rFonts w:hint="eastAsia" w:ascii="仿宋" w:hAnsi="仿宋" w:eastAsia="仿宋" w:cs="仿宋"/>
          <w:sz w:val="28"/>
          <w:szCs w:val="28"/>
        </w:rPr>
      </w:pPr>
      <w:r>
        <w:rPr>
          <w:rFonts w:hint="eastAsia" w:ascii="仿宋" w:hAnsi="仿宋" w:eastAsia="仿宋" w:cs="仿宋"/>
          <w:sz w:val="28"/>
          <w:szCs w:val="28"/>
        </w:rPr>
        <w:t>禁烧限烧种类：水稻秸秆、玉米秸秆、油菜秸秆、高粱秸秆、大豆秸秆、薯类秸秆及其他农作物收获籽实后的剩余物。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禁烧区：禁止农作物秸秆等露天焚烧的区域。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限烧区：在特定时间、气象、空气环境质量条件下，可进行有计划、有序的秸秆露天焚烧活动的区域。</w:t>
      </w:r>
    </w:p>
    <w:p>
      <w:pPr>
        <w:pStyle w:val="2"/>
        <w:bidi w:val="0"/>
        <w:jc w:val="center"/>
        <w:rPr>
          <w:rFonts w:hint="eastAsia" w:ascii="仿宋" w:hAnsi="仿宋" w:eastAsia="仿宋" w:cs="仿宋"/>
          <w:szCs w:val="28"/>
        </w:rPr>
      </w:pPr>
      <w:bookmarkStart w:id="105" w:name="_Toc5623"/>
      <w:r>
        <w:rPr>
          <w:rFonts w:hint="eastAsia"/>
        </w:rPr>
        <w:t>第3章 区域概况</w:t>
      </w:r>
      <w:bookmarkEnd w:id="105"/>
    </w:p>
    <w:p>
      <w:pPr>
        <w:pStyle w:val="3"/>
        <w:bidi w:val="0"/>
        <w:ind w:firstLine="321" w:firstLineChars="100"/>
        <w:rPr>
          <w:rFonts w:hint="eastAsia"/>
        </w:rPr>
      </w:pPr>
      <w:bookmarkStart w:id="106" w:name="_Toc19593"/>
      <w:r>
        <w:rPr>
          <w:rFonts w:hint="eastAsia"/>
        </w:rPr>
        <w:t>3.1交通及地理位置</w:t>
      </w:r>
      <w:bookmarkEnd w:id="106"/>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双清区位于邵阳市区东南部。地域范围为北纬27º11′—27º18′，东经111º27′—111º37′。东临邵东，南、西隔邵水与大祥区为邻，西北隔资江与北塔区、新邵毗邻。邵水与资江相汇，形成双清览胜之势，为古宝庆八景之“双清秋月”，区名因此而来。东西直线距离17.8公里，南北直线距离14.3公里。总面积135.22平方公里。</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双清区素有邵阳市“东大门”之称，</w:t>
      </w:r>
      <w:r>
        <w:rPr>
          <w:rFonts w:hint="default" w:ascii="仿宋" w:hAnsi="仿宋" w:eastAsia="仿宋" w:cs="仿宋"/>
          <w:sz w:val="28"/>
          <w:szCs w:val="28"/>
          <w:lang w:val="en-US" w:eastAsia="zh-CN"/>
        </w:rPr>
        <w:t>双清区城区干道纵横交错，</w:t>
      </w:r>
      <w:r>
        <w:rPr>
          <w:rFonts w:hint="eastAsia" w:ascii="仿宋" w:hAnsi="仿宋" w:eastAsia="仿宋" w:cs="仿宋"/>
          <w:sz w:val="28"/>
          <w:szCs w:val="28"/>
          <w:lang w:val="en-US" w:eastAsia="zh-CN"/>
        </w:rPr>
        <w:t>320国道、207国道、潭邵高速、衡邵高速、洛湛铁路、怀邵衡铁路越境而过</w:t>
      </w:r>
      <w:r>
        <w:rPr>
          <w:rFonts w:hint="default" w:ascii="仿宋" w:hAnsi="仿宋" w:eastAsia="仿宋" w:cs="仿宋"/>
          <w:sz w:val="28"/>
          <w:szCs w:val="28"/>
          <w:lang w:val="en-US" w:eastAsia="zh-CN"/>
        </w:rPr>
        <w:t>。 </w:t>
      </w:r>
      <w:r>
        <w:rPr>
          <w:rFonts w:hint="eastAsia" w:ascii="仿宋" w:hAnsi="仿宋" w:eastAsia="仿宋" w:cs="仿宋"/>
          <w:sz w:val="28"/>
          <w:szCs w:val="28"/>
          <w:lang w:val="en-US" w:eastAsia="zh-CN"/>
        </w:rPr>
        <w:t>风景名胜众多。双清区自然风景和人文景观交融，宝庆古八景中的双清秋月、佘湖雪霁、洛阳仙洞等景点名闻遐迩，东塔公园、双清公园、玉清宫（佘湖山）等名胜古迹星罗棋布。莲荷森林公园面积达4000亩，是目前市区森林面积最大、树木品种最多、植被保存最完好的区域。双龙紫薇园是全国最大的紫薇主题公园，在市内外享有盛名。“宝庆龙骨水车”“李氏八极拳”和“宝庆油布伞”等非物质文化遗产璀璨夺目。双清区内有省级文物保护单位姚喆故居和八路军驻湘通讯处旧址（省级爱国主义教育基地、湖南省党员教育培训现场教学点、省级青少年教育基地）等红色文化资源。</w:t>
      </w:r>
    </w:p>
    <w:p>
      <w:pPr>
        <w:pStyle w:val="3"/>
        <w:bidi w:val="0"/>
        <w:ind w:firstLine="321" w:firstLineChars="100"/>
        <w:rPr>
          <w:rFonts w:hint="eastAsia"/>
        </w:rPr>
      </w:pPr>
      <w:bookmarkStart w:id="107" w:name="_Toc13184"/>
      <w:r>
        <w:rPr>
          <w:rFonts w:hint="eastAsia"/>
        </w:rPr>
        <w:t>3.2行政区划</w:t>
      </w:r>
      <w:bookmarkEnd w:id="107"/>
    </w:p>
    <w:p>
      <w:pPr>
        <w:ind w:firstLine="560" w:firstLineChars="200"/>
        <w:rPr>
          <w:rFonts w:hint="default" w:ascii="仿宋" w:hAnsi="仿宋" w:eastAsia="仿宋" w:cs="仿宋"/>
          <w:sz w:val="28"/>
          <w:szCs w:val="28"/>
        </w:rPr>
      </w:pPr>
      <w:r>
        <w:rPr>
          <w:rFonts w:hint="eastAsia" w:ascii="仿宋" w:hAnsi="仿宋" w:eastAsia="仿宋" w:cs="仿宋"/>
          <w:sz w:val="28"/>
          <w:szCs w:val="28"/>
        </w:rPr>
        <w:t>双清区，位于</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"https://baike.baidu.com/item/%E6%B9%96%E5%8D%97%E7%9C%81/293174?fromModule=lemma_inlink"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湖南省</w:t>
      </w:r>
      <w:r>
        <w:rPr>
          <w:rFonts w:hint="default" w:ascii="仿宋" w:hAnsi="仿宋" w:eastAsia="仿宋" w:cs="仿宋"/>
          <w:sz w:val="28"/>
          <w:szCs w:val="28"/>
        </w:rPr>
        <w:fldChar w:fldCharType="end"/>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"https://baike.baidu.com/item/%E9%82%B5%E9%98%B3/462551?fromModule=lemma_inlink"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邵阳</w:t>
      </w:r>
      <w:r>
        <w:rPr>
          <w:rFonts w:hint="default" w:ascii="仿宋" w:hAnsi="仿宋" w:eastAsia="仿宋" w:cs="仿宋"/>
          <w:sz w:val="28"/>
          <w:szCs w:val="28"/>
        </w:rPr>
        <w:fldChar w:fldCharType="end"/>
      </w:r>
      <w:r>
        <w:rPr>
          <w:rFonts w:hint="default" w:ascii="仿宋" w:hAnsi="仿宋" w:eastAsia="仿宋" w:cs="仿宋"/>
          <w:sz w:val="28"/>
          <w:szCs w:val="28"/>
        </w:rPr>
        <w:t>市区东南部，东邻</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"https://baike.baidu.com/item/%E9%82%B5%E4%B8%9C%E5%8E%BF/4936366?fromModule=lemma_inlink"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邵东县</w:t>
      </w:r>
      <w:r>
        <w:rPr>
          <w:rFonts w:hint="default" w:ascii="仿宋" w:hAnsi="仿宋" w:eastAsia="仿宋" w:cs="仿宋"/>
          <w:sz w:val="28"/>
          <w:szCs w:val="28"/>
        </w:rPr>
        <w:fldChar w:fldCharType="end"/>
      </w:r>
      <w:r>
        <w:rPr>
          <w:rFonts w:hint="default" w:ascii="仿宋" w:hAnsi="仿宋" w:eastAsia="仿宋" w:cs="仿宋"/>
          <w:sz w:val="28"/>
          <w:szCs w:val="28"/>
        </w:rPr>
        <w:t>、东北部连接</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"https://baike.baidu.com/item/%E6%96%B0%E9%82%B5%E5%8E%BF/1290631?fromModule=lemma_inlink"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新邵县</w:t>
      </w:r>
      <w:r>
        <w:rPr>
          <w:rFonts w:hint="default" w:ascii="仿宋" w:hAnsi="仿宋" w:eastAsia="仿宋" w:cs="仿宋"/>
          <w:sz w:val="28"/>
          <w:szCs w:val="28"/>
        </w:rPr>
        <w:fldChar w:fldCharType="end"/>
      </w:r>
      <w:r>
        <w:rPr>
          <w:rFonts w:hint="default" w:ascii="仿宋" w:hAnsi="仿宋" w:eastAsia="仿宋" w:cs="仿宋"/>
          <w:sz w:val="28"/>
          <w:szCs w:val="28"/>
        </w:rPr>
        <w:t>，西南与</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"https://baike.baidu.com/item/%E5%A4%A7%E7%A5%A5%E5%8C%BA/10368951?fromModule=lemma_inlink"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大祥区</w:t>
      </w:r>
      <w:r>
        <w:rPr>
          <w:rFonts w:hint="default" w:ascii="仿宋" w:hAnsi="仿宋" w:eastAsia="仿宋" w:cs="仿宋"/>
          <w:sz w:val="28"/>
          <w:szCs w:val="28"/>
        </w:rPr>
        <w:fldChar w:fldCharType="end"/>
      </w:r>
      <w:r>
        <w:rPr>
          <w:rFonts w:hint="default" w:ascii="仿宋" w:hAnsi="仿宋" w:eastAsia="仿宋" w:cs="仿宋"/>
          <w:sz w:val="28"/>
          <w:szCs w:val="28"/>
        </w:rPr>
        <w:t>一衣带水，以</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"https://baike.baidu.com/item/%E9%82%B5%E6%B0%B4/3653385?fromModule=lemma_inlink"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邵水</w:t>
      </w:r>
      <w:r>
        <w:rPr>
          <w:rFonts w:hint="default" w:ascii="仿宋" w:hAnsi="仿宋" w:eastAsia="仿宋" w:cs="仿宋"/>
          <w:sz w:val="28"/>
          <w:szCs w:val="28"/>
        </w:rPr>
        <w:fldChar w:fldCharType="end"/>
      </w:r>
      <w:r>
        <w:rPr>
          <w:rFonts w:hint="default" w:ascii="仿宋" w:hAnsi="仿宋" w:eastAsia="仿宋" w:cs="仿宋"/>
          <w:sz w:val="28"/>
          <w:szCs w:val="28"/>
        </w:rPr>
        <w:t>为界；西北与</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"https://baike.baidu.com/item/%E5%8C%97%E5%A1%94%E5%8C%BA/10369017?fromModule=lemma_inlink"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北塔区</w:t>
      </w:r>
      <w:r>
        <w:rPr>
          <w:rFonts w:hint="default" w:ascii="仿宋" w:hAnsi="仿宋" w:eastAsia="仿宋" w:cs="仿宋"/>
          <w:sz w:val="28"/>
          <w:szCs w:val="28"/>
        </w:rPr>
        <w:fldChar w:fldCharType="end"/>
      </w:r>
      <w:r>
        <w:rPr>
          <w:rFonts w:hint="default" w:ascii="仿宋" w:hAnsi="仿宋" w:eastAsia="仿宋" w:cs="仿宋"/>
          <w:sz w:val="28"/>
          <w:szCs w:val="28"/>
        </w:rPr>
        <w:t>隔江相望，以</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"https://baike.baidu.com/item/%E8%B5%84%E6%B1%9F/3296559?fromModule=lemma_inlink"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资江</w:t>
      </w:r>
      <w:r>
        <w:rPr>
          <w:rFonts w:hint="default" w:ascii="仿宋" w:hAnsi="仿宋" w:eastAsia="仿宋" w:cs="仿宋"/>
          <w:sz w:val="28"/>
          <w:szCs w:val="28"/>
        </w:rPr>
        <w:fldChar w:fldCharType="end"/>
      </w:r>
      <w:r>
        <w:rPr>
          <w:rFonts w:hint="default" w:ascii="仿宋" w:hAnsi="仿宋" w:eastAsia="仿宋" w:cs="仿宋"/>
          <w:sz w:val="28"/>
          <w:szCs w:val="28"/>
        </w:rPr>
        <w:t>为界。因宝庆名景“双江秋月”点缀其间而得名，土地总面积135.22平方公里 ，辖1个乡、2个镇、</w:t>
      </w:r>
      <w:r>
        <w:rPr>
          <w:rFonts w:hint="eastAsia" w:ascii="仿宋" w:hAnsi="仿宋" w:eastAsia="仿宋" w:cs="仿宋"/>
          <w:sz w:val="28"/>
          <w:szCs w:val="28"/>
          <w:lang w:val="en-US" w:eastAsia="zh-CN"/>
        </w:rPr>
        <w:t>9</w:t>
      </w:r>
      <w:r>
        <w:rPr>
          <w:rFonts w:hint="default" w:ascii="仿宋" w:hAnsi="仿宋" w:eastAsia="仿宋" w:cs="仿宋"/>
          <w:sz w:val="28"/>
          <w:szCs w:val="28"/>
        </w:rPr>
        <w:t>个街道 ，居住着汉、回等19个民族。根据第七次人口普查数据，截至2020年11月1日零时，双清区常住人口为317283人。 截止2023年末，双清区常住人口32.01万人，其中城镇人口为28.83万人；城镇化率为90.07%。</w:t>
      </w:r>
    </w:p>
    <w:p>
      <w:pPr>
        <w:ind w:firstLine="560" w:firstLineChars="200"/>
        <w:rPr>
          <w:rFonts w:hint="eastAsia" w:ascii="仿宋" w:hAnsi="仿宋" w:eastAsia="仿宋" w:cs="仿宋"/>
          <w:sz w:val="28"/>
          <w:szCs w:val="28"/>
          <w:lang w:eastAsia="zh-CN"/>
        </w:rPr>
      </w:pPr>
      <w:r>
        <w:rPr>
          <w:rFonts w:hint="default" w:ascii="仿宋" w:hAnsi="仿宋" w:eastAsia="仿宋" w:cs="仿宋"/>
          <w:sz w:val="28"/>
          <w:szCs w:val="28"/>
        </w:rPr>
        <w:t>截至2020年，双清区下辖9个街道、2个镇、1个乡，有</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"https://baike.baidu.com/item/%E5%85%B4%E9%9A%86%E8%A1%97%E9%81%93/10880965?fromModule=lemma_inlink"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兴隆街道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"https://baike.baidu.com/item/%E9%BE%99%E9%A1%BB%E5%A1%98%E8%A1%97%E9%81%93 /5952220?fromModule=lemma_inlink"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龙须塘街道 </w:t>
      </w:r>
      <w:r>
        <w:rPr>
          <w:rFonts w:hint="default" w:ascii="仿宋" w:hAnsi="仿宋" w:eastAsia="仿宋" w:cs="仿宋"/>
          <w:sz w:val="28"/>
          <w:szCs w:val="28"/>
        </w:rPr>
        <w:fldChar w:fldCharType="end"/>
      </w:r>
      <w:r>
        <w:rPr>
          <w:rFonts w:hint="default" w:ascii="仿宋" w:hAnsi="仿宋" w:eastAsia="仿宋" w:cs="仿宋"/>
          <w:sz w:val="28"/>
          <w:szCs w:val="28"/>
        </w:rPr>
        <w:t>，</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"https://baike.baidu.com/item/%E6%B1%BD%E8%BD%A6%E7%AB%99%E8%A1%97%E9%81%93 /15714500?fromModule=lemma_inlink"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汽车站街道 </w:t>
      </w:r>
      <w:r>
        <w:rPr>
          <w:rFonts w:hint="default" w:ascii="仿宋" w:hAnsi="仿宋" w:eastAsia="仿宋" w:cs="仿宋"/>
          <w:sz w:val="28"/>
          <w:szCs w:val="28"/>
        </w:rPr>
        <w:fldChar w:fldCharType="end"/>
      </w:r>
      <w:r>
        <w:rPr>
          <w:rFonts w:hint="default" w:ascii="仿宋" w:hAnsi="仿宋" w:eastAsia="仿宋" w:cs="仿宋"/>
          <w:sz w:val="28"/>
          <w:szCs w:val="28"/>
        </w:rPr>
        <w:t>，</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"https://baike.baidu.com/item/%E5%B0%8F%E6%B1%9F%E6%B9%96%E8%A1%97%E9%81%93 /5952303?fromModule=lemma_inlink"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小江湖街道 </w:t>
      </w:r>
      <w:r>
        <w:rPr>
          <w:rFonts w:hint="default" w:ascii="仿宋" w:hAnsi="仿宋" w:eastAsia="仿宋" w:cs="仿宋"/>
          <w:sz w:val="28"/>
          <w:szCs w:val="28"/>
        </w:rPr>
        <w:fldChar w:fldCharType="end"/>
      </w:r>
      <w:r>
        <w:rPr>
          <w:rFonts w:hint="default" w:ascii="仿宋" w:hAnsi="仿宋" w:eastAsia="仿宋" w:cs="仿宋"/>
          <w:sz w:val="28"/>
          <w:szCs w:val="28"/>
        </w:rPr>
        <w:t>，</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"https://baike.baidu.com/item/%E4%B8%9C%E9%A3%8E%E8%B7%AF%E8%A1%97%E9%81%93/15878047?fromModule=lemma_inlink"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东风路街道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"https://baike.baidu.com/item/%E6%A1%A5%E5%A4%B4%E8%A1%97%E9%81%93/57418964?fromModule=lemma_inlink"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桥头街道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"https://baike.baidu.com/item/%E6%BB%A8%E6%B1%9F%E8%A1%97%E9%81%93/57418914?fromModule=lemma_inlink"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滨江街道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"https://baike.baidu.com/item/%E7%9F%B3%E6%A1%A5%E8%A1%97%E9%81%93/57418877?fromModule=lemma_inlink"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石桥街道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"https://baike.baidu.com/item/%E7%88%B1%E8%8E%B2%E8%A1%97%E9%81%93/57419075?fromModule=lemma_inlink"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爱莲街道</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"https://baike.baidu.com/item/%E9%AB%98%E5%B4%87%E5%B1%B1%E9%95%87/4241139?fromModule=lemma_inlink"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高崇山镇</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"https://baike.baidu.com/item/%E6%B8%A1%E5%A4%B4%E6%A1%A5%E9%95%87/7068570?fromModule=lemma_inlink"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渡头桥镇</w:t>
      </w:r>
      <w:r>
        <w:rPr>
          <w:rFonts w:hint="default" w:ascii="仿宋" w:hAnsi="仿宋" w:eastAsia="仿宋" w:cs="仿宋"/>
          <w:sz w:val="28"/>
          <w:szCs w:val="28"/>
        </w:rPr>
        <w:fldChar w:fldCharType="end"/>
      </w:r>
      <w:r>
        <w:rPr>
          <w:rFonts w:hint="default" w:ascii="仿宋" w:hAnsi="仿宋" w:eastAsia="仿宋" w:cs="仿宋"/>
          <w:sz w:val="28"/>
          <w:szCs w:val="28"/>
        </w:rPr>
        <w:t> ，</w:t>
      </w:r>
      <w:r>
        <w:rPr>
          <w:rFonts w:hint="default" w:ascii="仿宋" w:hAnsi="仿宋" w:eastAsia="仿宋" w:cs="仿宋"/>
          <w:sz w:val="28"/>
          <w:szCs w:val="28"/>
        </w:rPr>
        <w:fldChar w:fldCharType="begin"/>
      </w:r>
      <w:r>
        <w:rPr>
          <w:rFonts w:hint="default" w:ascii="仿宋" w:hAnsi="仿宋" w:eastAsia="仿宋" w:cs="仿宋"/>
          <w:sz w:val="28"/>
          <w:szCs w:val="28"/>
        </w:rPr>
        <w:instrText xml:space="preserve"> HYPERLINK "https://baike.baidu.com/item/%E7%81%AB%E8%BD%A6%E7%AB%99%E4%B9%A1/4241086?fromModule=lemma_inlink" \t "https://baike.baidu.com/item/%E5%8F%8C%E6%B8%85%E5%8C%BA/_blank" </w:instrText>
      </w:r>
      <w:r>
        <w:rPr>
          <w:rFonts w:hint="default" w:ascii="仿宋" w:hAnsi="仿宋" w:eastAsia="仿宋" w:cs="仿宋"/>
          <w:sz w:val="28"/>
          <w:szCs w:val="28"/>
        </w:rPr>
        <w:fldChar w:fldCharType="separate"/>
      </w:r>
      <w:r>
        <w:rPr>
          <w:rFonts w:hint="default" w:ascii="仿宋" w:hAnsi="仿宋" w:eastAsia="仿宋" w:cs="仿宋"/>
          <w:sz w:val="28"/>
          <w:szCs w:val="28"/>
        </w:rPr>
        <w:t>火车站乡</w:t>
      </w:r>
      <w:r>
        <w:rPr>
          <w:rFonts w:hint="default" w:ascii="仿宋" w:hAnsi="仿宋" w:eastAsia="仿宋" w:cs="仿宋"/>
          <w:sz w:val="28"/>
          <w:szCs w:val="28"/>
        </w:rPr>
        <w:fldChar w:fldCharType="end"/>
      </w:r>
      <w:r>
        <w:rPr>
          <w:rFonts w:hint="eastAsia" w:ascii="仿宋" w:hAnsi="仿宋" w:eastAsia="仿宋" w:cs="仿宋"/>
          <w:sz w:val="28"/>
          <w:szCs w:val="28"/>
          <w:lang w:eastAsia="zh-CN"/>
        </w:rPr>
        <w:t>。</w:t>
      </w:r>
    </w:p>
    <w:p>
      <w:pPr>
        <w:pStyle w:val="3"/>
        <w:bidi w:val="0"/>
        <w:ind w:firstLine="321" w:firstLineChars="100"/>
        <w:rPr>
          <w:rFonts w:hint="eastAsia"/>
        </w:rPr>
      </w:pPr>
      <w:bookmarkStart w:id="108" w:name="_Toc13123"/>
      <w:r>
        <w:rPr>
          <w:rFonts w:hint="eastAsia"/>
        </w:rPr>
        <w:t>3.3地形地貌</w:t>
      </w:r>
      <w:bookmarkEnd w:id="108"/>
    </w:p>
    <w:p>
      <w:pPr>
        <w:pStyle w:val="3"/>
        <w:bidi w:val="0"/>
        <w:ind w:firstLine="560" w:firstLineChars="200"/>
        <w:rPr>
          <w:rFonts w:hint="eastAsia" w:ascii="仿宋" w:hAnsi="仿宋" w:eastAsia="仿宋" w:cs="仿宋"/>
          <w:b w:val="0"/>
          <w:kern w:val="2"/>
          <w:sz w:val="28"/>
          <w:szCs w:val="28"/>
          <w:lang w:val="en-US" w:eastAsia="zh-CN" w:bidi="ar-SA"/>
        </w:rPr>
      </w:pPr>
      <w:bookmarkStart w:id="109" w:name="_Toc22517"/>
      <w:r>
        <w:rPr>
          <w:rFonts w:hint="eastAsia" w:ascii="仿宋" w:hAnsi="仿宋" w:eastAsia="仿宋" w:cs="仿宋"/>
          <w:b w:val="0"/>
          <w:kern w:val="2"/>
          <w:sz w:val="28"/>
          <w:szCs w:val="28"/>
          <w:lang w:val="en-US" w:eastAsia="zh-CN" w:bidi="ar-SA"/>
        </w:rPr>
        <w:t>双清区地处湘中丘陵地带，地势中东部高，南北略低，北部为丘陵地带，中部位岗地带，南部临邵水带。最高点龙口岭位于石桥乡大坡村，海拔346.7米，最低点资江中沙洲位于小江湖社区，海拔204米。</w:t>
      </w:r>
      <w:bookmarkEnd w:id="109"/>
    </w:p>
    <w:p>
      <w:pPr>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双清区境内有6条河道，流经10个乡镇（街道）、40个村（社区）。境内省管河道资江干流长约13千米，市管河道邵水河道长约24.6千米，区管河道4条，其中红旗河河道长约11千米、洋溪主河道长约13千米、渔溪主河道长约3千米、淡雅溪主河道长约4.5千米。</w:t>
      </w:r>
    </w:p>
    <w:p>
      <w:pPr>
        <w:pStyle w:val="3"/>
        <w:bidi w:val="0"/>
        <w:ind w:firstLine="321" w:firstLineChars="100"/>
        <w:rPr>
          <w:rFonts w:hint="eastAsia"/>
        </w:rPr>
      </w:pPr>
      <w:bookmarkStart w:id="110" w:name="_Toc30756"/>
      <w:r>
        <w:rPr>
          <w:rFonts w:hint="eastAsia"/>
        </w:rPr>
        <w:t>3.4气候气象</w:t>
      </w:r>
      <w:bookmarkEnd w:id="110"/>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双清区</w:t>
      </w:r>
      <w:r>
        <w:rPr>
          <w:rFonts w:hint="eastAsia" w:ascii="仿宋" w:hAnsi="仿宋" w:eastAsia="仿宋" w:cs="仿宋"/>
          <w:sz w:val="28"/>
          <w:szCs w:val="28"/>
        </w:rPr>
        <w:t>为中亚热带季风湿润气候区。气候温和，雨量充沛。年均气温16.9℃，一月最冷，平均气温为4.9℃，七月最热，平均气温为28.3℃。雨季出现在汛期4-6月，历年平均降水为545.4mm。7-9月是干旱时段，历年平均降水273.1mm。无霜期平均为286.4天，最长的1961年有30.8天，最短的1969年只有23.3天。</w:t>
      </w:r>
    </w:p>
    <w:p>
      <w:pPr>
        <w:pStyle w:val="3"/>
        <w:bidi w:val="0"/>
        <w:ind w:firstLine="321" w:firstLineChars="100"/>
        <w:rPr>
          <w:rFonts w:hint="eastAsia"/>
        </w:rPr>
      </w:pPr>
      <w:bookmarkStart w:id="111" w:name="_Toc15926"/>
      <w:r>
        <w:rPr>
          <w:rFonts w:hint="eastAsia"/>
        </w:rPr>
        <w:t>3.5农业发展</w:t>
      </w:r>
      <w:bookmarkEnd w:id="111"/>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双清区农副土特产丰富，主要有大棚蔬菜、柑桔、葡萄、草莓、药材、荸荠、莲藕等。水利资源较为丰富。境内矿藏有砂金、煤、铁、锰、钒、大理石、优质石灰石等。</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烟煤品质优良，市属新东、肖家冲、短陂桥煤矿座落境内。</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有林地3261.3公顷，森林覆盖率24.1%。拥有耕地面积3210公顷，养殖水面330公顷。</w:t>
      </w:r>
    </w:p>
    <w:p>
      <w:pPr>
        <w:pStyle w:val="2"/>
        <w:bidi w:val="0"/>
        <w:jc w:val="both"/>
        <w:rPr>
          <w:rFonts w:hint="default" w:eastAsiaTheme="minorEastAsia"/>
          <w:lang w:val="en-US" w:eastAsia="zh-CN"/>
        </w:rPr>
      </w:pPr>
      <w:bookmarkStart w:id="112" w:name="_Toc17361"/>
      <w:r>
        <w:rPr>
          <w:rFonts w:hint="eastAsia"/>
        </w:rPr>
        <w:t>第4章 秸秆禁烧区和限烧区划定方案</w:t>
      </w:r>
      <w:r>
        <w:rPr>
          <w:rFonts w:hint="eastAsia"/>
          <w:lang w:val="en-US" w:eastAsia="zh-CN"/>
        </w:rPr>
        <w:t>及成果</w:t>
      </w:r>
      <w:bookmarkEnd w:id="112"/>
    </w:p>
    <w:p>
      <w:pPr>
        <w:pStyle w:val="3"/>
        <w:bidi w:val="0"/>
        <w:ind w:firstLine="321" w:firstLineChars="100"/>
        <w:rPr>
          <w:rFonts w:hint="default" w:eastAsia="黑体"/>
          <w:lang w:val="en-US" w:eastAsia="zh-CN"/>
        </w:rPr>
      </w:pPr>
      <w:bookmarkStart w:id="113" w:name="_Toc2169"/>
      <w:r>
        <w:rPr>
          <w:rFonts w:hint="eastAsia"/>
        </w:rPr>
        <w:t>4.1禁烧区</w:t>
      </w:r>
      <w:r>
        <w:rPr>
          <w:rFonts w:hint="eastAsia"/>
          <w:lang w:val="en-US" w:eastAsia="zh-CN"/>
        </w:rPr>
        <w:t>划定方法</w:t>
      </w:r>
      <w:bookmarkEnd w:id="113"/>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4.1.1要素选取</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 xml:space="preserve">）区域建成区（开发边界）：从城乡规划、土地利用规划、国土空间规划、国土三调数据或卫星地图中划分出已建成区的区域。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（2）高速公路：双清区县高速公路分布情况见表 4</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w:t>
      </w:r>
    </w:p>
    <w:p>
      <w:pPr>
        <w:keepNext w:val="0"/>
        <w:keepLines w:val="0"/>
        <w:widowControl/>
        <w:suppressLineNumbers w:val="0"/>
        <w:ind w:firstLine="1687" w:firstLineChars="700"/>
        <w:jc w:val="left"/>
      </w:pPr>
      <w:r>
        <w:rPr>
          <w:rFonts w:hint="eastAsia" w:ascii="宋体" w:hAnsi="宋体" w:eastAsia="宋体" w:cs="宋体"/>
          <w:b/>
          <w:bCs/>
          <w:color w:val="000000"/>
          <w:kern w:val="0"/>
          <w:sz w:val="24"/>
          <w:szCs w:val="24"/>
          <w:lang w:val="en-US" w:eastAsia="zh-CN" w:bidi="ar"/>
        </w:rPr>
        <w:t xml:space="preserve">表 </w:t>
      </w:r>
      <w:r>
        <w:rPr>
          <w:rFonts w:hint="eastAsia" w:ascii="Times New Roman" w:hAnsi="Times New Roman" w:eastAsia="宋体" w:cs="Times New Roman"/>
          <w:b/>
          <w:bCs/>
          <w:color w:val="000000"/>
          <w:kern w:val="0"/>
          <w:sz w:val="24"/>
          <w:szCs w:val="24"/>
          <w:lang w:val="en-US" w:eastAsia="zh-CN" w:bidi="ar"/>
        </w:rPr>
        <w:t>4</w:t>
      </w:r>
      <w:r>
        <w:rPr>
          <w:rFonts w:hint="default" w:ascii="Times New Roman" w:hAnsi="Times New Roman" w:eastAsia="宋体" w:cs="Times New Roman"/>
          <w:b/>
          <w:bCs/>
          <w:color w:val="000000"/>
          <w:kern w:val="0"/>
          <w:sz w:val="24"/>
          <w:szCs w:val="24"/>
          <w:lang w:val="en-US" w:eastAsia="zh-CN" w:bidi="ar"/>
        </w:rPr>
        <w:t xml:space="preserve">-1 </w:t>
      </w:r>
      <w:r>
        <w:rPr>
          <w:rFonts w:hint="eastAsia" w:ascii="宋体" w:hAnsi="宋体" w:eastAsia="宋体" w:cs="宋体"/>
          <w:b/>
          <w:bCs/>
          <w:color w:val="000000"/>
          <w:kern w:val="0"/>
          <w:sz w:val="24"/>
          <w:szCs w:val="24"/>
          <w:lang w:val="en-US" w:eastAsia="zh-CN" w:bidi="ar"/>
        </w:rPr>
        <w:t>双清区高速公路分布情况汇总表</w:t>
      </w:r>
    </w:p>
    <w:tbl>
      <w:tblPr>
        <w:tblStyle w:val="13"/>
        <w:tblW w:w="8083" w:type="dxa"/>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4"/>
        <w:gridCol w:w="3515"/>
        <w:gridCol w:w="2125"/>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公路名称</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公路简称</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上海-昆明高速公路</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沪昆高速</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衡阳-邵阳高速公路</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衡邵高速</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S80</w:t>
            </w:r>
          </w:p>
        </w:tc>
      </w:tr>
    </w:tbl>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（3）国、省干道：双清区境内国、省干道分布情况见下表 4</w:t>
      </w: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 xml:space="preserve">。 </w:t>
      </w:r>
    </w:p>
    <w:p>
      <w:pPr>
        <w:keepNext w:val="0"/>
        <w:keepLines w:val="0"/>
        <w:widowControl/>
        <w:suppressLineNumbers w:val="0"/>
        <w:ind w:firstLine="1687" w:firstLineChars="7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表 4</w:t>
      </w:r>
      <w:r>
        <w:rPr>
          <w:rFonts w:hint="default" w:ascii="宋体" w:hAnsi="宋体" w:eastAsia="宋体" w:cs="宋体"/>
          <w:b/>
          <w:bCs/>
          <w:color w:val="000000"/>
          <w:kern w:val="0"/>
          <w:sz w:val="24"/>
          <w:szCs w:val="24"/>
          <w:lang w:val="en-US" w:eastAsia="zh-CN" w:bidi="ar"/>
        </w:rPr>
        <w:t xml:space="preserve">-2 </w:t>
      </w:r>
      <w:r>
        <w:rPr>
          <w:rFonts w:hint="eastAsia" w:ascii="宋体" w:hAnsi="宋体" w:eastAsia="宋体" w:cs="宋体"/>
          <w:b/>
          <w:bCs/>
          <w:color w:val="000000"/>
          <w:kern w:val="0"/>
          <w:sz w:val="24"/>
          <w:szCs w:val="24"/>
          <w:lang w:val="en-US" w:eastAsia="zh-CN" w:bidi="ar"/>
        </w:rPr>
        <w:t>双清区国、省干道分布情况汇总表</w:t>
      </w:r>
    </w:p>
    <w:tbl>
      <w:tblPr>
        <w:tblStyle w:val="13"/>
        <w:tblW w:w="81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948"/>
        <w:gridCol w:w="1559"/>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公路名称</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公路简称</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上海-云南瑞丽公路</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沪瑞线</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乌兰浩特市-广东徐闻公路</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乌海线</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G207</w:t>
            </w:r>
          </w:p>
        </w:tc>
      </w:tr>
    </w:tbl>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铁路：双清区境内铁路分布情况见表 4</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w:t>
      </w:r>
    </w:p>
    <w:p>
      <w:pPr>
        <w:keepNext w:val="0"/>
        <w:keepLines w:val="0"/>
        <w:widowControl/>
        <w:suppressLineNumbers w:val="0"/>
        <w:jc w:val="left"/>
      </w:pPr>
      <w:r>
        <w:rPr>
          <w:rFonts w:hint="eastAsia" w:ascii="仿宋" w:hAnsi="仿宋" w:eastAsia="仿宋" w:cs="仿宋"/>
          <w:sz w:val="28"/>
          <w:szCs w:val="28"/>
          <w:lang w:val="en-US" w:eastAsia="zh-CN"/>
        </w:rPr>
        <w:t xml:space="preserve">     </w:t>
      </w:r>
      <w:r>
        <w:rPr>
          <w:rFonts w:hint="eastAsia" w:ascii="宋体" w:hAnsi="宋体" w:eastAsia="宋体" w:cs="宋体"/>
          <w:b/>
          <w:bCs/>
          <w:color w:val="000000"/>
          <w:kern w:val="0"/>
          <w:sz w:val="24"/>
          <w:szCs w:val="24"/>
          <w:lang w:val="en-US" w:eastAsia="zh-CN" w:bidi="ar"/>
        </w:rPr>
        <w:t xml:space="preserve">           表 4</w:t>
      </w:r>
      <w:r>
        <w:rPr>
          <w:rFonts w:hint="default" w:ascii="宋体" w:hAnsi="宋体" w:eastAsia="宋体" w:cs="宋体"/>
          <w:b/>
          <w:bCs/>
          <w:color w:val="000000"/>
          <w:kern w:val="0"/>
          <w:sz w:val="24"/>
          <w:szCs w:val="24"/>
          <w:lang w:val="en-US" w:eastAsia="zh-CN" w:bidi="ar"/>
        </w:rPr>
        <w:t xml:space="preserve">-3 </w:t>
      </w:r>
      <w:r>
        <w:rPr>
          <w:rFonts w:hint="eastAsia" w:ascii="宋体" w:hAnsi="宋体" w:eastAsia="宋体" w:cs="宋体"/>
          <w:b/>
          <w:bCs/>
          <w:color w:val="000000"/>
          <w:kern w:val="0"/>
          <w:sz w:val="24"/>
          <w:szCs w:val="24"/>
          <w:lang w:val="en-US" w:eastAsia="zh-CN" w:bidi="ar"/>
        </w:rPr>
        <w:t>双清区铁路分布情况汇总表</w:t>
      </w:r>
    </w:p>
    <w:tbl>
      <w:tblPr>
        <w:tblStyle w:val="13"/>
        <w:tblW w:w="81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868"/>
        <w:gridCol w:w="1579"/>
        <w:gridCol w:w="1513"/>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铁路名称</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起点</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怀邵衡高速铁路</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怀化</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洛湛铁路</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普铁</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洛阳</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湛江</w:t>
            </w:r>
          </w:p>
        </w:tc>
      </w:tr>
    </w:tbl>
    <w:p>
      <w:pPr>
        <w:keepNext w:val="0"/>
        <w:keepLines w:val="0"/>
        <w:widowControl/>
        <w:suppressLineNumbers w:val="0"/>
        <w:jc w:val="left"/>
        <w:rPr>
          <w:rFonts w:hint="eastAsia" w:ascii="仿宋" w:hAnsi="仿宋" w:eastAsia="仿宋" w:cs="仿宋"/>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sz w:val="28"/>
          <w:szCs w:val="28"/>
          <w:lang w:val="en-US" w:eastAsia="zh-CN"/>
        </w:rPr>
        <w:t>（5）机场：无。</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（6）自然保护区：无。</w:t>
      </w:r>
    </w:p>
    <w:p>
      <w:pPr>
        <w:keepNext w:val="0"/>
        <w:keepLines w:val="0"/>
        <w:widowControl/>
        <w:suppressLineNumbers w:val="0"/>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b w:val="0"/>
          <w:kern w:val="2"/>
          <w:sz w:val="28"/>
          <w:szCs w:val="28"/>
          <w:lang w:val="en-US" w:eastAsia="zh-CN" w:bidi="ar-SA"/>
        </w:rPr>
        <w:t>各级自然保护区、公园、文物保护单位、油库、粮库、高压输电线路、通讯设施、林地所在区域。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4.1.2划定过程                               </w:t>
      </w:r>
    </w:p>
    <w:p>
      <w:pPr>
        <w:ind w:firstLine="280" w:firstLineChars="100"/>
        <w:rPr>
          <w:rFonts w:hint="eastAsia" w:ascii="仿宋" w:hAnsi="仿宋" w:eastAsia="仿宋" w:cs="仿宋"/>
          <w:b w:val="0"/>
          <w:kern w:val="2"/>
          <w:sz w:val="28"/>
          <w:szCs w:val="28"/>
          <w:lang w:val="en-US" w:eastAsia="zh-CN" w:bidi="ar-SA"/>
        </w:rPr>
      </w:pPr>
      <w:r>
        <w:rPr>
          <w:rFonts w:hint="eastAsia" w:ascii="仿宋" w:hAnsi="仿宋" w:eastAsia="仿宋" w:cs="仿宋"/>
          <w:sz w:val="28"/>
          <w:szCs w:val="28"/>
          <w:lang w:val="en-US" w:eastAsia="zh-CN"/>
        </w:rPr>
        <w:t>（1）双清区</w:t>
      </w:r>
      <w:r>
        <w:rPr>
          <w:rFonts w:hint="eastAsia" w:ascii="仿宋" w:hAnsi="仿宋" w:eastAsia="仿宋" w:cs="仿宋"/>
          <w:b w:val="0"/>
          <w:kern w:val="2"/>
          <w:sz w:val="28"/>
          <w:szCs w:val="28"/>
          <w:lang w:val="en-US" w:eastAsia="zh-CN" w:bidi="ar-SA"/>
        </w:rPr>
        <w:t>建成区及其边缘外延不少于10公里范围内，区所在城镇建成区及其边缘外延不少于5公里范围内。</w:t>
      </w:r>
    </w:p>
    <w:p>
      <w:pPr>
        <w:ind w:firstLine="280" w:firstLineChars="100"/>
        <w:rPr>
          <w:rFonts w:hint="eastAsia" w:ascii="仿宋" w:hAnsi="仿宋" w:eastAsia="仿宋" w:cs="仿宋"/>
          <w:sz w:val="28"/>
          <w:szCs w:val="28"/>
          <w:lang w:val="en-US" w:eastAsia="zh-CN"/>
        </w:rPr>
      </w:pPr>
      <w:bookmarkStart w:id="114" w:name="_Toc30267"/>
      <w:bookmarkStart w:id="115" w:name="_Toc18092"/>
      <w:bookmarkStart w:id="116" w:name="_Toc12186"/>
      <w:bookmarkStart w:id="117" w:name="_Toc923"/>
      <w:bookmarkStart w:id="118" w:name="_Toc19166"/>
      <w:bookmarkStart w:id="119" w:name="_Toc3123"/>
      <w:bookmarkStart w:id="120" w:name="_Toc12386"/>
      <w:bookmarkStart w:id="121" w:name="_Toc12659"/>
      <w:r>
        <w:rPr>
          <w:rFonts w:hint="eastAsia" w:ascii="仿宋" w:hAnsi="仿宋" w:eastAsia="仿宋" w:cs="仿宋"/>
          <w:sz w:val="28"/>
          <w:szCs w:val="28"/>
          <w:lang w:val="en-US" w:eastAsia="zh-CN"/>
        </w:rPr>
        <w:t>（2)高速公路、铁路沿线两侧2公里范围内的区域:国道、省道公路干线、县与县交界区域两侧1公里范围内的区域:机场边缘外延不少于10公里范围内的区域，主导风向及主航线方向可适当扩大范围。</w:t>
      </w:r>
      <w:bookmarkEnd w:id="114"/>
      <w:bookmarkEnd w:id="115"/>
      <w:bookmarkEnd w:id="116"/>
      <w:bookmarkEnd w:id="117"/>
      <w:bookmarkEnd w:id="118"/>
      <w:bookmarkEnd w:id="119"/>
      <w:bookmarkEnd w:id="120"/>
      <w:bookmarkEnd w:id="121"/>
    </w:p>
    <w:p>
      <w:pPr>
        <w:ind w:firstLine="280" w:firstLineChars="100"/>
        <w:rPr>
          <w:rFonts w:hint="eastAsia" w:ascii="仿宋" w:hAnsi="仿宋" w:eastAsia="仿宋" w:cs="仿宋"/>
          <w:sz w:val="28"/>
          <w:szCs w:val="28"/>
          <w:lang w:val="en-US" w:eastAsia="zh-CN"/>
        </w:rPr>
      </w:pPr>
      <w:bookmarkStart w:id="122" w:name="_Toc16639"/>
      <w:bookmarkStart w:id="123" w:name="_Toc31345"/>
      <w:bookmarkStart w:id="124" w:name="_Toc19219"/>
      <w:bookmarkStart w:id="125" w:name="_Toc32320"/>
      <w:bookmarkStart w:id="126" w:name="_Toc30126"/>
      <w:bookmarkStart w:id="127" w:name="_Toc15555"/>
      <w:bookmarkStart w:id="128" w:name="_Toc16073"/>
      <w:bookmarkStart w:id="129" w:name="_Toc14480"/>
      <w:r>
        <w:rPr>
          <w:rFonts w:hint="eastAsia" w:ascii="仿宋" w:hAnsi="仿宋" w:eastAsia="仿宋" w:cs="仿宋"/>
          <w:sz w:val="28"/>
          <w:szCs w:val="28"/>
          <w:lang w:val="en-US" w:eastAsia="zh-CN"/>
        </w:rPr>
        <w:t>（3） 各级自然保护区、公园、文物保护单位、油库、粮库、高压输电线路、通讯设施、林地所在区域及其边缘外延1公里范围内的区域。</w:t>
      </w:r>
      <w:bookmarkEnd w:id="122"/>
      <w:bookmarkEnd w:id="123"/>
      <w:bookmarkEnd w:id="124"/>
      <w:bookmarkEnd w:id="125"/>
      <w:bookmarkEnd w:id="126"/>
      <w:bookmarkEnd w:id="127"/>
      <w:bookmarkEnd w:id="128"/>
      <w:bookmarkEnd w:id="129"/>
    </w:p>
    <w:p>
      <w:pPr>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（4） 法律、法规以及规范性文件规定的其他禁止露天焚烧秸秆的区域。 </w:t>
      </w:r>
    </w:p>
    <w:p>
      <w:pPr>
        <w:pStyle w:val="3"/>
        <w:bidi w:val="0"/>
        <w:ind w:firstLine="321" w:firstLineChars="100"/>
        <w:rPr>
          <w:rFonts w:hint="eastAsia"/>
        </w:rPr>
      </w:pPr>
      <w:bookmarkStart w:id="130" w:name="_Toc22618"/>
      <w:bookmarkStart w:id="131" w:name="_Toc25417"/>
      <w:r>
        <w:rPr>
          <w:rFonts w:hint="eastAsia"/>
        </w:rPr>
        <w:t>4.2 限烧区</w:t>
      </w:r>
      <w:bookmarkEnd w:id="130"/>
      <w:bookmarkEnd w:id="131"/>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秸秆禁烧区以外的所有区域为秸秆限烧区。限烧区内，在确保人民生命财产安全、防止大气污染、保护广大人民群众身体健康的前提下，充分考虑气象条件、焚烧地点和方式，可开展有序焚烧。</w:t>
      </w:r>
    </w:p>
    <w:p>
      <w:pPr>
        <w:ind w:firstLine="560" w:firstLineChars="200"/>
        <w:outlineLvl w:val="2"/>
        <w:rPr>
          <w:rFonts w:hint="eastAsia" w:ascii="仿宋" w:hAnsi="仿宋" w:eastAsia="仿宋" w:cs="仿宋"/>
          <w:sz w:val="28"/>
          <w:szCs w:val="28"/>
        </w:rPr>
      </w:pPr>
      <w:bookmarkStart w:id="132" w:name="_Toc5137"/>
      <w:bookmarkStart w:id="133" w:name="_Toc7413"/>
      <w:bookmarkStart w:id="134" w:name="_Toc13494"/>
      <w:bookmarkStart w:id="135" w:name="_Toc9194"/>
      <w:bookmarkStart w:id="136" w:name="_Toc6313"/>
      <w:bookmarkStart w:id="137" w:name="_Toc6430"/>
      <w:bookmarkStart w:id="138" w:name="_Toc25884"/>
      <w:bookmarkStart w:id="139" w:name="_Toc27803"/>
      <w:r>
        <w:rPr>
          <w:rFonts w:hint="eastAsia" w:ascii="仿宋" w:hAnsi="仿宋" w:eastAsia="仿宋" w:cs="仿宋"/>
          <w:sz w:val="28"/>
          <w:szCs w:val="28"/>
          <w:lang w:val="en-US" w:eastAsia="zh-CN"/>
        </w:rPr>
        <w:t>2、</w:t>
      </w:r>
      <w:r>
        <w:rPr>
          <w:rFonts w:hint="eastAsia" w:ascii="仿宋" w:hAnsi="仿宋" w:eastAsia="仿宋" w:cs="仿宋"/>
          <w:sz w:val="28"/>
          <w:szCs w:val="28"/>
        </w:rPr>
        <w:t>限烧区内，出现下列情形之一的，应当列入秸秆禁烧时段：</w:t>
      </w:r>
      <w:bookmarkEnd w:id="132"/>
      <w:bookmarkEnd w:id="133"/>
      <w:bookmarkEnd w:id="134"/>
      <w:bookmarkEnd w:id="135"/>
      <w:bookmarkEnd w:id="136"/>
      <w:bookmarkEnd w:id="137"/>
      <w:bookmarkEnd w:id="138"/>
      <w:bookmarkEnd w:id="139"/>
    </w:p>
    <w:p>
      <w:pPr>
        <w:ind w:firstLine="560" w:firstLineChars="200"/>
        <w:rPr>
          <w:rFonts w:hint="eastAsia" w:ascii="仿宋" w:hAnsi="仿宋" w:eastAsia="仿宋" w:cs="仿宋"/>
          <w:sz w:val="28"/>
          <w:szCs w:val="28"/>
        </w:rPr>
      </w:pPr>
      <w:r>
        <w:rPr>
          <w:rFonts w:hint="eastAsia" w:ascii="仿宋" w:hAnsi="仿宋" w:eastAsia="仿宋" w:cs="仿宋"/>
          <w:sz w:val="28"/>
          <w:szCs w:val="28"/>
        </w:rPr>
        <w:t>（1）风速小、静稳、逆温等不利于大气污染扩散的天气；</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（2）下雨天或者秸秆潮湿不能充分燃烧的天气；</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（3）当日19:00至次日7:00的夜间时段；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（4）环境空气质量预报达到轻度及以上的污染天；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（5）环境空气质量当日实际监测连续出现三小时中度及以上的；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（6）当地人民政府已经启动轻度及以上大气污染应急管控措施的；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（7）法律、法规以及规范性文件规定的其他禁止露天焚烧秸秆的时段。</w:t>
      </w:r>
    </w:p>
    <w:p>
      <w:pPr>
        <w:keepNext w:val="0"/>
        <w:keepLines w:val="0"/>
        <w:widowControl/>
        <w:suppressLineNumbers w:val="0"/>
        <w:ind w:firstLine="560"/>
        <w:jc w:val="left"/>
        <w:rPr>
          <w:rFonts w:hint="eastAsia" w:ascii="仿宋" w:hAnsi="仿宋" w:eastAsia="仿宋" w:cs="仿宋"/>
          <w:sz w:val="28"/>
          <w:szCs w:val="28"/>
          <w:lang w:val="en-US" w:eastAsia="zh-CN"/>
        </w:rPr>
      </w:pPr>
    </w:p>
    <w:p>
      <w:pPr>
        <w:keepNext w:val="0"/>
        <w:keepLines w:val="0"/>
        <w:widowControl/>
        <w:suppressLineNumbers w:val="0"/>
        <w:jc w:val="left"/>
        <w:rPr>
          <w:rFonts w:hint="default" w:ascii="仿宋" w:hAnsi="仿宋" w:eastAsia="仿宋" w:cs="仿宋"/>
          <w:sz w:val="28"/>
          <w:szCs w:val="28"/>
          <w:lang w:val="en-US" w:eastAsia="zh-CN"/>
        </w:rPr>
      </w:pPr>
    </w:p>
    <w:p>
      <w:pPr>
        <w:ind w:firstLine="560" w:firstLineChars="200"/>
        <w:rPr>
          <w:rFonts w:hint="default" w:ascii="仿宋" w:hAnsi="仿宋" w:eastAsia="仿宋" w:cs="仿宋"/>
          <w:sz w:val="28"/>
          <w:szCs w:val="28"/>
          <w:lang w:val="en-US" w:eastAsia="zh-CN"/>
        </w:rPr>
      </w:pPr>
    </w:p>
    <w:p>
      <w:pPr>
        <w:rPr>
          <w:rFonts w:hint="default"/>
          <w:lang w:val="en-US" w:eastAsia="zh-CN"/>
        </w:rPr>
      </w:pPr>
    </w:p>
    <w:p>
      <w:pPr>
        <w:ind w:firstLine="560" w:firstLineChars="200"/>
        <w:rPr>
          <w:rFonts w:hint="eastAsia" w:ascii="仿宋" w:hAnsi="仿宋" w:eastAsia="仿宋" w:cs="仿宋"/>
          <w:sz w:val="28"/>
          <w:szCs w:val="28"/>
        </w:rPr>
      </w:pPr>
    </w:p>
    <w:p>
      <w:pPr>
        <w:pStyle w:val="2"/>
        <w:bidi w:val="0"/>
        <w:rPr>
          <w:rFonts w:hint="eastAsia"/>
        </w:rPr>
      </w:pPr>
      <w:bookmarkStart w:id="140" w:name="_Toc1097"/>
      <w:r>
        <w:rPr>
          <w:rFonts w:hint="eastAsia"/>
        </w:rPr>
        <w:t>第</w:t>
      </w:r>
      <w:r>
        <w:rPr>
          <w:rFonts w:hint="eastAsia"/>
          <w:lang w:val="en-US" w:eastAsia="zh-CN"/>
        </w:rPr>
        <w:t>5</w:t>
      </w:r>
      <w:r>
        <w:rPr>
          <w:rFonts w:hint="eastAsia"/>
        </w:rPr>
        <w:t xml:space="preserve">章 </w:t>
      </w:r>
      <w:r>
        <w:rPr>
          <w:rFonts w:hint="eastAsia"/>
          <w:lang w:val="en-US" w:eastAsia="zh-CN"/>
        </w:rPr>
        <w:t>管控要求及管理办法</w:t>
      </w:r>
      <w:bookmarkEnd w:id="140"/>
    </w:p>
    <w:p>
      <w:pPr>
        <w:pStyle w:val="3"/>
        <w:bidi w:val="0"/>
        <w:rPr>
          <w:rFonts w:hint="default" w:ascii="仿宋" w:hAnsi="仿宋" w:eastAsia="仿宋" w:cs="仿宋"/>
          <w:b w:val="0"/>
          <w:kern w:val="2"/>
          <w:sz w:val="28"/>
          <w:szCs w:val="28"/>
          <w:lang w:val="en-US" w:eastAsia="zh-CN" w:bidi="ar-SA"/>
        </w:rPr>
      </w:pPr>
      <w:bookmarkStart w:id="141" w:name="_Toc31026"/>
      <w:bookmarkStart w:id="142" w:name="_Toc13462"/>
      <w:r>
        <w:rPr>
          <w:rFonts w:hint="default"/>
          <w:lang w:val="en-US" w:eastAsia="zh-CN"/>
        </w:rPr>
        <w:t>5.1管控要求</w:t>
      </w:r>
      <w:bookmarkEnd w:id="141"/>
      <w:bookmarkEnd w:id="142"/>
    </w:p>
    <w:p>
      <w:pPr>
        <w:keepNext w:val="0"/>
        <w:keepLines w:val="0"/>
        <w:pageBreakBefore w:val="0"/>
        <w:widowControl w:val="0"/>
        <w:suppressLineNumbers w:val="0"/>
        <w:kinsoku/>
        <w:wordWrap/>
        <w:overflowPunct/>
        <w:topLinePunct w:val="0"/>
        <w:autoSpaceDE/>
        <w:autoSpaceDN/>
        <w:bidi w:val="0"/>
        <w:adjustRightInd/>
        <w:snapToGrid/>
        <w:ind w:firstLine="280" w:firstLineChars="1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5.1.1 禁烧区管控要求</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及时向社会公布辖区内划定的秸秆禁烧区。对秸秆禁烧区实行强制性禁烧政策和管理措施，在任何时间、任何气象条件及空气质量状况下，严禁秸秆露天焚烧行为。</w:t>
      </w:r>
      <w:bookmarkStart w:id="143" w:name="_Toc6105"/>
      <w:bookmarkStart w:id="144" w:name="_Toc21320"/>
    </w:p>
    <w:p>
      <w:pPr>
        <w:keepNext w:val="0"/>
        <w:keepLines w:val="0"/>
        <w:pageBreakBefore w:val="0"/>
        <w:widowControl w:val="0"/>
        <w:suppressLineNumbers w:val="0"/>
        <w:kinsoku/>
        <w:wordWrap/>
        <w:overflowPunct/>
        <w:topLinePunct w:val="0"/>
        <w:autoSpaceDE/>
        <w:autoSpaceDN/>
        <w:bidi w:val="0"/>
        <w:adjustRightInd/>
        <w:snapToGrid/>
        <w:ind w:firstLine="280" w:firstLineChars="1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5.1.2限烧区管控要求</w:t>
      </w:r>
      <w:bookmarkEnd w:id="143"/>
      <w:bookmarkEnd w:id="144"/>
    </w:p>
    <w:p>
      <w:pPr>
        <w:keepNext w:val="0"/>
        <w:keepLines w:val="0"/>
        <w:pageBreakBefore w:val="0"/>
        <w:widowControl w:val="0"/>
        <w:suppressLineNumbers w:val="0"/>
        <w:kinsoku/>
        <w:wordWrap/>
        <w:overflowPunct/>
        <w:topLinePunct w:val="0"/>
        <w:autoSpaceDE/>
        <w:autoSpaceDN/>
        <w:bidi w:val="0"/>
        <w:adjustRightInd/>
        <w:snapToGrid/>
        <w:ind w:firstLine="280" w:firstLineChars="1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（1）有序秸秆焚烧的环境气象条件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①空气质量较好，AQI指数优或良。</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②天气晴朗（晴天或多云），大气扩散条件好，边界层高度在800米以上。</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③风速条件合适（大于等于2级且小于等于5级），湿度较低（小于等于65%）。</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④在冬季宜选择在受冷空气影响（日降温幅度在6℃以上）或未来8小时后有小雨以上级别的降水。</w:t>
      </w:r>
    </w:p>
    <w:p>
      <w:pPr>
        <w:keepNext w:val="0"/>
        <w:keepLines w:val="0"/>
        <w:pageBreakBefore w:val="0"/>
        <w:widowControl w:val="0"/>
        <w:suppressLineNumbers w:val="0"/>
        <w:kinsoku/>
        <w:wordWrap/>
        <w:overflowPunct/>
        <w:topLinePunct w:val="0"/>
        <w:autoSpaceDE/>
        <w:autoSpaceDN/>
        <w:bidi w:val="0"/>
        <w:adjustRightInd/>
        <w:snapToGrid/>
        <w:ind w:firstLine="280" w:firstLineChars="1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（2）分区域分时段露天焚烧</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①满足上述环境气象条件，</w:t>
      </w:r>
      <w:r>
        <w:rPr>
          <w:rFonts w:hint="eastAsia" w:ascii="仿宋" w:hAnsi="仿宋" w:eastAsia="仿宋" w:cs="仿宋"/>
          <w:b w:val="0"/>
          <w:kern w:val="2"/>
          <w:sz w:val="28"/>
          <w:szCs w:val="28"/>
          <w:lang w:val="en-US" w:eastAsia="zh-CN" w:bidi="ar-SA"/>
        </w:rPr>
        <w:t>分区域</w:t>
      </w:r>
      <w:r>
        <w:rPr>
          <w:rFonts w:hint="default" w:ascii="仿宋" w:hAnsi="仿宋" w:eastAsia="仿宋" w:cs="仿宋"/>
          <w:b w:val="0"/>
          <w:kern w:val="2"/>
          <w:sz w:val="28"/>
          <w:szCs w:val="28"/>
          <w:lang w:val="en-US" w:eastAsia="zh-CN" w:bidi="ar-SA"/>
        </w:rPr>
        <w:t>进行有序焚烧，以防止大面积集中焚烧带来区域大气污染。</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②秸秆焚烧时段应根据当地气象部门提供的气象条件进行。一般选择在上午10点到下午3点之间大气边界层较高（500米以上）的情况下进行焚烧，</w:t>
      </w:r>
      <w:r>
        <w:rPr>
          <w:rFonts w:hint="eastAsia" w:ascii="仿宋" w:hAnsi="仿宋" w:eastAsia="仿宋" w:cs="仿宋"/>
          <w:b w:val="0"/>
          <w:kern w:val="2"/>
          <w:sz w:val="28"/>
          <w:szCs w:val="28"/>
          <w:lang w:val="en-US" w:eastAsia="zh-CN" w:bidi="ar-SA"/>
        </w:rPr>
        <w:t>禁止</w:t>
      </w:r>
      <w:r>
        <w:rPr>
          <w:rFonts w:hint="default" w:ascii="仿宋" w:hAnsi="仿宋" w:eastAsia="仿宋" w:cs="仿宋"/>
          <w:b w:val="0"/>
          <w:kern w:val="2"/>
          <w:sz w:val="28"/>
          <w:szCs w:val="28"/>
          <w:lang w:val="en-US" w:eastAsia="zh-CN" w:bidi="ar-SA"/>
        </w:rPr>
        <w:t>在大气边界层较低的清晨、傍晚及夜间禁烧。</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③在启动重污染天气预警期间，限烧区全面禁止露天焚烧秸秆。</w:t>
      </w:r>
    </w:p>
    <w:p>
      <w:pPr>
        <w:keepNext w:val="0"/>
        <w:keepLines w:val="0"/>
        <w:pageBreakBefore w:val="0"/>
        <w:widowControl w:val="0"/>
        <w:suppressLineNumbers w:val="0"/>
        <w:kinsoku/>
        <w:wordWrap/>
        <w:overflowPunct/>
        <w:topLinePunct w:val="0"/>
        <w:autoSpaceDE/>
        <w:autoSpaceDN/>
        <w:bidi w:val="0"/>
        <w:adjustRightInd/>
        <w:snapToGrid/>
        <w:ind w:firstLine="280" w:firstLineChars="1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（3）气象条件获取及可焚烧区域发布</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在秸秆焚烧重点管控时段，即夏收、秋收、秋冬季期间由气象部门发布或气象APP（如</w:t>
      </w:r>
      <w:r>
        <w:rPr>
          <w:rFonts w:hint="eastAsia" w:ascii="仿宋" w:hAnsi="仿宋" w:eastAsia="仿宋" w:cs="仿宋"/>
          <w:b w:val="0"/>
          <w:kern w:val="2"/>
          <w:sz w:val="28"/>
          <w:szCs w:val="28"/>
          <w:lang w:val="en-US" w:eastAsia="zh-CN" w:bidi="ar-SA"/>
        </w:rPr>
        <w:t>湖南天气</w:t>
      </w:r>
      <w:r>
        <w:rPr>
          <w:rFonts w:hint="default" w:ascii="仿宋" w:hAnsi="仿宋" w:eastAsia="仿宋" w:cs="仿宋"/>
          <w:b w:val="0"/>
          <w:kern w:val="2"/>
          <w:sz w:val="28"/>
          <w:szCs w:val="28"/>
          <w:lang w:val="en-US" w:eastAsia="zh-CN" w:bidi="ar-SA"/>
        </w:rPr>
        <w:t>、</w:t>
      </w:r>
      <w:r>
        <w:rPr>
          <w:rFonts w:hint="eastAsia" w:ascii="仿宋" w:hAnsi="仿宋" w:eastAsia="仿宋" w:cs="仿宋"/>
          <w:b w:val="0"/>
          <w:kern w:val="2"/>
          <w:sz w:val="28"/>
          <w:szCs w:val="28"/>
          <w:lang w:val="en-US" w:eastAsia="zh-CN" w:bidi="ar-SA"/>
        </w:rPr>
        <w:t>拇指天气</w:t>
      </w:r>
      <w:r>
        <w:rPr>
          <w:rFonts w:hint="default" w:ascii="仿宋" w:hAnsi="仿宋" w:eastAsia="仿宋" w:cs="仿宋"/>
          <w:b w:val="0"/>
          <w:kern w:val="2"/>
          <w:sz w:val="28"/>
          <w:szCs w:val="28"/>
          <w:lang w:val="en-US" w:eastAsia="zh-CN" w:bidi="ar-SA"/>
        </w:rPr>
        <w:t>）获取未来一周天气、温度、湿度、风速、降水等气象数据。根据市级调度安排，</w:t>
      </w:r>
      <w:r>
        <w:rPr>
          <w:rFonts w:hint="eastAsia" w:ascii="仿宋" w:hAnsi="仿宋" w:eastAsia="仿宋" w:cs="仿宋"/>
          <w:b w:val="0"/>
          <w:kern w:val="2"/>
          <w:sz w:val="28"/>
          <w:szCs w:val="28"/>
          <w:lang w:val="en-US" w:eastAsia="zh-CN" w:bidi="ar-SA"/>
        </w:rPr>
        <w:t>在限烧区</w:t>
      </w:r>
      <w:r>
        <w:rPr>
          <w:rFonts w:hint="default" w:ascii="仿宋" w:hAnsi="仿宋" w:eastAsia="仿宋" w:cs="仿宋"/>
          <w:b w:val="0"/>
          <w:kern w:val="2"/>
          <w:sz w:val="28"/>
          <w:szCs w:val="28"/>
          <w:lang w:val="en-US" w:eastAsia="zh-CN" w:bidi="ar-SA"/>
        </w:rPr>
        <w:t>可进行有计划、有序的秸秆露天焚烧活动。</w:t>
      </w:r>
    </w:p>
    <w:p>
      <w:pPr>
        <w:pStyle w:val="3"/>
        <w:bidi w:val="0"/>
        <w:ind w:firstLine="321" w:firstLineChars="100"/>
        <w:rPr>
          <w:rFonts w:hint="default"/>
          <w:lang w:val="en-US" w:eastAsia="zh-CN"/>
        </w:rPr>
      </w:pPr>
      <w:bookmarkStart w:id="145" w:name="_Toc30993"/>
      <w:bookmarkStart w:id="146" w:name="_Toc28132"/>
      <w:bookmarkStart w:id="147" w:name="_Toc25174"/>
      <w:bookmarkStart w:id="148" w:name="_Toc8699"/>
      <w:bookmarkStart w:id="149" w:name="_Toc7755"/>
      <w:r>
        <w:rPr>
          <w:rFonts w:hint="default"/>
          <w:lang w:val="en-US" w:eastAsia="zh-CN"/>
        </w:rPr>
        <w:t>5.2管理办法</w:t>
      </w:r>
      <w:bookmarkEnd w:id="145"/>
      <w:bookmarkEnd w:id="146"/>
      <w:bookmarkEnd w:id="147"/>
      <w:bookmarkEnd w:id="148"/>
      <w:bookmarkEnd w:id="149"/>
    </w:p>
    <w:p>
      <w:pPr>
        <w:keepNext w:val="0"/>
        <w:keepLines w:val="0"/>
        <w:pageBreakBefore w:val="0"/>
        <w:widowControl w:val="0"/>
        <w:suppressLineNumbers w:val="0"/>
        <w:kinsoku/>
        <w:wordWrap/>
        <w:overflowPunct/>
        <w:topLinePunct w:val="0"/>
        <w:autoSpaceDE/>
        <w:autoSpaceDN/>
        <w:bidi w:val="0"/>
        <w:adjustRightInd/>
        <w:snapToGrid/>
        <w:ind w:firstLine="280" w:firstLineChars="1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1.重点管控区域</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全</w:t>
      </w:r>
      <w:r>
        <w:rPr>
          <w:rFonts w:hint="eastAsia" w:ascii="仿宋" w:hAnsi="仿宋" w:eastAsia="仿宋" w:cs="仿宋"/>
          <w:b w:val="0"/>
          <w:kern w:val="2"/>
          <w:sz w:val="28"/>
          <w:szCs w:val="28"/>
          <w:lang w:val="en-US" w:eastAsia="zh-CN" w:bidi="ar-SA"/>
        </w:rPr>
        <w:t>区</w:t>
      </w:r>
      <w:r>
        <w:rPr>
          <w:rFonts w:hint="default" w:ascii="仿宋" w:hAnsi="仿宋" w:eastAsia="仿宋" w:cs="仿宋"/>
          <w:b w:val="0"/>
          <w:kern w:val="2"/>
          <w:sz w:val="28"/>
          <w:szCs w:val="28"/>
          <w:lang w:val="en-US" w:eastAsia="zh-CN" w:bidi="ar-SA"/>
        </w:rPr>
        <w:t>农作物种植区、人口集中区及重点生态功能区等重点区域。</w:t>
      </w:r>
    </w:p>
    <w:p>
      <w:pPr>
        <w:keepNext w:val="0"/>
        <w:keepLines w:val="0"/>
        <w:pageBreakBefore w:val="0"/>
        <w:widowControl w:val="0"/>
        <w:suppressLineNumbers w:val="0"/>
        <w:kinsoku/>
        <w:wordWrap/>
        <w:overflowPunct/>
        <w:topLinePunct w:val="0"/>
        <w:autoSpaceDE/>
        <w:autoSpaceDN/>
        <w:bidi w:val="0"/>
        <w:adjustRightInd/>
        <w:snapToGrid/>
        <w:ind w:firstLine="280" w:firstLineChars="1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2.重点管控时段</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夏收时段：每年</w:t>
      </w:r>
      <w:r>
        <w:rPr>
          <w:rFonts w:hint="eastAsia" w:ascii="仿宋" w:hAnsi="仿宋" w:eastAsia="仿宋" w:cs="仿宋"/>
          <w:b w:val="0"/>
          <w:kern w:val="2"/>
          <w:sz w:val="28"/>
          <w:szCs w:val="28"/>
          <w:lang w:val="en-US" w:eastAsia="zh-CN" w:bidi="ar-SA"/>
        </w:rPr>
        <w:t>5</w:t>
      </w:r>
      <w:r>
        <w:rPr>
          <w:rFonts w:hint="default" w:ascii="仿宋" w:hAnsi="仿宋" w:eastAsia="仿宋" w:cs="仿宋"/>
          <w:b w:val="0"/>
          <w:kern w:val="2"/>
          <w:sz w:val="28"/>
          <w:szCs w:val="28"/>
          <w:lang w:val="en-US" w:eastAsia="zh-CN" w:bidi="ar-SA"/>
        </w:rPr>
        <w:t>月</w:t>
      </w:r>
      <w:r>
        <w:rPr>
          <w:rFonts w:hint="eastAsia" w:ascii="仿宋" w:hAnsi="仿宋" w:eastAsia="仿宋" w:cs="仿宋"/>
          <w:b w:val="0"/>
          <w:kern w:val="2"/>
          <w:sz w:val="28"/>
          <w:szCs w:val="28"/>
          <w:lang w:val="en-US" w:eastAsia="zh-CN" w:bidi="ar-SA"/>
        </w:rPr>
        <w:t>中</w:t>
      </w:r>
      <w:r>
        <w:rPr>
          <w:rFonts w:hint="default" w:ascii="仿宋" w:hAnsi="仿宋" w:eastAsia="仿宋" w:cs="仿宋"/>
          <w:b w:val="0"/>
          <w:kern w:val="2"/>
          <w:sz w:val="28"/>
          <w:szCs w:val="28"/>
          <w:lang w:val="en-US" w:eastAsia="zh-CN" w:bidi="ar-SA"/>
        </w:rPr>
        <w:t>下旬；</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秋收时段：每年9月下旬至</w:t>
      </w:r>
      <w:r>
        <w:rPr>
          <w:rFonts w:hint="eastAsia" w:ascii="仿宋" w:hAnsi="仿宋" w:eastAsia="仿宋" w:cs="仿宋"/>
          <w:b w:val="0"/>
          <w:kern w:val="2"/>
          <w:sz w:val="28"/>
          <w:szCs w:val="28"/>
          <w:lang w:val="en-US" w:eastAsia="zh-CN" w:bidi="ar-SA"/>
        </w:rPr>
        <w:t>10</w:t>
      </w:r>
      <w:r>
        <w:rPr>
          <w:rFonts w:hint="default" w:ascii="仿宋" w:hAnsi="仿宋" w:eastAsia="仿宋" w:cs="仿宋"/>
          <w:b w:val="0"/>
          <w:kern w:val="2"/>
          <w:sz w:val="28"/>
          <w:szCs w:val="28"/>
          <w:lang w:val="en-US" w:eastAsia="zh-CN" w:bidi="ar-SA"/>
        </w:rPr>
        <w:t>月；</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大气扩散条件较差的时段：每年的11月至次年3月。</w:t>
      </w:r>
    </w:p>
    <w:p>
      <w:pPr>
        <w:pStyle w:val="4"/>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森林火险高风险期间禁止一切野外用火。</w:t>
      </w:r>
    </w:p>
    <w:p>
      <w:pPr>
        <w:keepNext w:val="0"/>
        <w:keepLines w:val="0"/>
        <w:pageBreakBefore w:val="0"/>
        <w:widowControl w:val="0"/>
        <w:suppressLineNumbers w:val="0"/>
        <w:kinsoku/>
        <w:wordWrap/>
        <w:overflowPunct/>
        <w:topLinePunct w:val="0"/>
        <w:autoSpaceDE/>
        <w:autoSpaceDN/>
        <w:bidi w:val="0"/>
        <w:adjustRightInd/>
        <w:snapToGrid/>
        <w:ind w:firstLine="280" w:firstLineChars="1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3.管控手段</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（1）细化</w:t>
      </w:r>
      <w:r>
        <w:rPr>
          <w:rFonts w:hint="eastAsia" w:ascii="仿宋" w:hAnsi="仿宋" w:eastAsia="仿宋" w:cs="仿宋"/>
          <w:b w:val="0"/>
          <w:kern w:val="2"/>
          <w:sz w:val="28"/>
          <w:szCs w:val="28"/>
          <w:lang w:val="en-US" w:eastAsia="zh-CN" w:bidi="ar-SA"/>
        </w:rPr>
        <w:t>各部门</w:t>
      </w:r>
      <w:r>
        <w:rPr>
          <w:rFonts w:hint="default" w:ascii="仿宋" w:hAnsi="仿宋" w:eastAsia="仿宋" w:cs="仿宋"/>
          <w:b w:val="0"/>
          <w:kern w:val="2"/>
          <w:sz w:val="28"/>
          <w:szCs w:val="28"/>
          <w:lang w:val="en-US" w:eastAsia="zh-CN" w:bidi="ar-SA"/>
        </w:rPr>
        <w:t>的监管责任，充分发挥</w:t>
      </w:r>
      <w:r>
        <w:rPr>
          <w:rFonts w:hint="eastAsia" w:ascii="仿宋" w:hAnsi="仿宋" w:eastAsia="仿宋" w:cs="仿宋"/>
          <w:b w:val="0"/>
          <w:kern w:val="2"/>
          <w:sz w:val="28"/>
          <w:szCs w:val="28"/>
          <w:lang w:val="en-US" w:eastAsia="zh-CN" w:bidi="ar-SA"/>
        </w:rPr>
        <w:t>乡镇（街道）村（居委会）</w:t>
      </w:r>
      <w:r>
        <w:rPr>
          <w:rFonts w:hint="default" w:ascii="仿宋" w:hAnsi="仿宋" w:eastAsia="仿宋" w:cs="仿宋"/>
          <w:b w:val="0"/>
          <w:kern w:val="2"/>
          <w:sz w:val="28"/>
          <w:szCs w:val="28"/>
          <w:lang w:val="en-US" w:eastAsia="zh-CN" w:bidi="ar-SA"/>
        </w:rPr>
        <w:t>基层组织作用，加强联防联控。</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（2）</w:t>
      </w:r>
      <w:r>
        <w:rPr>
          <w:rFonts w:hint="eastAsia" w:ascii="仿宋" w:hAnsi="仿宋" w:eastAsia="仿宋" w:cs="仿宋"/>
          <w:b w:val="0"/>
          <w:kern w:val="2"/>
          <w:sz w:val="28"/>
          <w:szCs w:val="28"/>
          <w:lang w:val="en-US" w:eastAsia="zh-CN" w:bidi="ar-SA"/>
        </w:rPr>
        <w:t>乡镇（街道）</w:t>
      </w:r>
      <w:r>
        <w:rPr>
          <w:rFonts w:hint="default" w:ascii="仿宋" w:hAnsi="仿宋" w:eastAsia="仿宋" w:cs="仿宋"/>
          <w:b w:val="0"/>
          <w:kern w:val="2"/>
          <w:sz w:val="28"/>
          <w:szCs w:val="28"/>
          <w:lang w:val="en-US" w:eastAsia="zh-CN" w:bidi="ar-SA"/>
        </w:rPr>
        <w:t>实行</w:t>
      </w:r>
      <w:r>
        <w:rPr>
          <w:rFonts w:hint="eastAsia" w:ascii="仿宋" w:hAnsi="仿宋" w:eastAsia="仿宋" w:cs="仿宋"/>
          <w:b w:val="0"/>
          <w:kern w:val="2"/>
          <w:sz w:val="28"/>
          <w:szCs w:val="28"/>
          <w:lang w:val="en-US" w:eastAsia="zh-CN" w:bidi="ar-SA"/>
        </w:rPr>
        <w:t>“</w:t>
      </w:r>
      <w:r>
        <w:rPr>
          <w:rFonts w:hint="default" w:ascii="仿宋" w:hAnsi="仿宋" w:eastAsia="仿宋" w:cs="仿宋"/>
          <w:b w:val="0"/>
          <w:kern w:val="2"/>
          <w:sz w:val="28"/>
          <w:szCs w:val="28"/>
          <w:lang w:val="en-US" w:eastAsia="zh-CN" w:bidi="ar-SA"/>
        </w:rPr>
        <w:t>定点、定时、定人、定责</w:t>
      </w:r>
      <w:r>
        <w:rPr>
          <w:rFonts w:hint="eastAsia" w:ascii="仿宋" w:hAnsi="仿宋" w:eastAsia="仿宋" w:cs="仿宋"/>
          <w:b w:val="0"/>
          <w:kern w:val="2"/>
          <w:sz w:val="28"/>
          <w:szCs w:val="28"/>
          <w:lang w:val="en-US" w:eastAsia="zh-CN" w:bidi="ar-SA"/>
        </w:rPr>
        <w:t>”</w:t>
      </w:r>
      <w:r>
        <w:rPr>
          <w:rFonts w:hint="default" w:ascii="仿宋" w:hAnsi="仿宋" w:eastAsia="仿宋" w:cs="仿宋"/>
          <w:b w:val="0"/>
          <w:kern w:val="2"/>
          <w:sz w:val="28"/>
          <w:szCs w:val="28"/>
          <w:lang w:val="en-US" w:eastAsia="zh-CN" w:bidi="ar-SA"/>
        </w:rPr>
        <w:t>管控，建立全覆盖、无死角的网格化监管体系，切实将监管责任落实到具体单位和个人。</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（3）</w:t>
      </w:r>
      <w:r>
        <w:rPr>
          <w:rFonts w:hint="eastAsia" w:ascii="仿宋" w:hAnsi="仿宋" w:eastAsia="仿宋" w:cs="仿宋"/>
          <w:b w:val="0"/>
          <w:kern w:val="2"/>
          <w:sz w:val="28"/>
          <w:szCs w:val="28"/>
          <w:lang w:val="en-US" w:eastAsia="zh-CN" w:bidi="ar-SA"/>
        </w:rPr>
        <w:t>加大</w:t>
      </w:r>
      <w:r>
        <w:rPr>
          <w:rFonts w:hint="default" w:ascii="仿宋" w:hAnsi="仿宋" w:eastAsia="仿宋" w:cs="仿宋"/>
          <w:b w:val="0"/>
          <w:kern w:val="2"/>
          <w:sz w:val="28"/>
          <w:szCs w:val="28"/>
          <w:lang w:val="en-US" w:eastAsia="zh-CN" w:bidi="ar-SA"/>
        </w:rPr>
        <w:t>巡查检查执法力度，对重点区域实行重点巡查检查，严厉查处禁燃区内露天焚烧秸秆行为。根据限烧区划定情况，按照网格</w:t>
      </w:r>
      <w:r>
        <w:rPr>
          <w:rFonts w:hint="eastAsia" w:ascii="仿宋" w:hAnsi="仿宋" w:eastAsia="仿宋" w:cs="仿宋"/>
          <w:b w:val="0"/>
          <w:kern w:val="2"/>
          <w:sz w:val="28"/>
          <w:szCs w:val="28"/>
          <w:lang w:val="en-US" w:eastAsia="zh-CN" w:bidi="ar-SA"/>
        </w:rPr>
        <w:t>化管理</w:t>
      </w:r>
      <w:r>
        <w:rPr>
          <w:rFonts w:hint="default" w:ascii="仿宋" w:hAnsi="仿宋" w:eastAsia="仿宋" w:cs="仿宋"/>
          <w:b w:val="0"/>
          <w:kern w:val="2"/>
          <w:sz w:val="28"/>
          <w:szCs w:val="28"/>
          <w:lang w:val="en-US" w:eastAsia="zh-CN" w:bidi="ar-SA"/>
        </w:rPr>
        <w:t>，确保网格内限烧区焚烧</w:t>
      </w:r>
      <w:r>
        <w:rPr>
          <w:rFonts w:hint="eastAsia" w:ascii="仿宋" w:hAnsi="仿宋" w:eastAsia="仿宋" w:cs="仿宋"/>
          <w:b w:val="0"/>
          <w:kern w:val="2"/>
          <w:sz w:val="28"/>
          <w:szCs w:val="28"/>
          <w:lang w:val="en-US" w:eastAsia="zh-CN" w:bidi="ar-SA"/>
        </w:rPr>
        <w:t>秸秆审批</w:t>
      </w:r>
      <w:r>
        <w:rPr>
          <w:rFonts w:hint="default" w:ascii="仿宋" w:hAnsi="仿宋" w:eastAsia="仿宋" w:cs="仿宋"/>
          <w:b w:val="0"/>
          <w:kern w:val="2"/>
          <w:sz w:val="28"/>
          <w:szCs w:val="28"/>
          <w:lang w:val="en-US" w:eastAsia="zh-CN" w:bidi="ar-SA"/>
        </w:rPr>
        <w:t>监管无盲区。各</w:t>
      </w:r>
      <w:r>
        <w:rPr>
          <w:rFonts w:hint="eastAsia" w:ascii="仿宋" w:hAnsi="仿宋" w:eastAsia="仿宋" w:cs="仿宋"/>
          <w:b w:val="0"/>
          <w:kern w:val="2"/>
          <w:sz w:val="28"/>
          <w:szCs w:val="28"/>
          <w:lang w:val="en-US" w:eastAsia="zh-CN" w:bidi="ar-SA"/>
        </w:rPr>
        <w:t>乡镇（街道）</w:t>
      </w:r>
      <w:r>
        <w:rPr>
          <w:rFonts w:hint="default" w:ascii="仿宋" w:hAnsi="仿宋" w:eastAsia="仿宋" w:cs="仿宋"/>
          <w:b w:val="0"/>
          <w:kern w:val="2"/>
          <w:sz w:val="28"/>
          <w:szCs w:val="28"/>
          <w:lang w:val="en-US" w:eastAsia="zh-CN" w:bidi="ar-SA"/>
        </w:rPr>
        <w:t>要及时发现和制止</w:t>
      </w:r>
      <w:r>
        <w:rPr>
          <w:rFonts w:hint="eastAsia" w:ascii="仿宋" w:hAnsi="仿宋" w:eastAsia="仿宋" w:cs="仿宋"/>
          <w:b w:val="0"/>
          <w:kern w:val="2"/>
          <w:sz w:val="28"/>
          <w:szCs w:val="28"/>
          <w:lang w:val="en-US" w:eastAsia="zh-CN" w:bidi="ar-SA"/>
        </w:rPr>
        <w:t>违规</w:t>
      </w:r>
      <w:r>
        <w:rPr>
          <w:rFonts w:hint="default" w:ascii="仿宋" w:hAnsi="仿宋" w:eastAsia="仿宋" w:cs="仿宋"/>
          <w:b w:val="0"/>
          <w:kern w:val="2"/>
          <w:sz w:val="28"/>
          <w:szCs w:val="28"/>
          <w:lang w:val="en-US" w:eastAsia="zh-CN" w:bidi="ar-SA"/>
        </w:rPr>
        <w:t>露天焚烧秸秆行为。同时明确专人填写巡查台账，并向上级进行报告。巡查发现</w:t>
      </w:r>
      <w:r>
        <w:rPr>
          <w:rFonts w:hint="eastAsia" w:ascii="仿宋" w:hAnsi="仿宋" w:eastAsia="仿宋" w:cs="仿宋"/>
          <w:b w:val="0"/>
          <w:kern w:val="2"/>
          <w:sz w:val="28"/>
          <w:szCs w:val="28"/>
          <w:lang w:val="en-US" w:eastAsia="zh-CN" w:bidi="ar-SA"/>
        </w:rPr>
        <w:t>违规</w:t>
      </w:r>
      <w:r>
        <w:rPr>
          <w:rFonts w:hint="default" w:ascii="仿宋" w:hAnsi="仿宋" w:eastAsia="仿宋" w:cs="仿宋"/>
          <w:b w:val="0"/>
          <w:kern w:val="2"/>
          <w:sz w:val="28"/>
          <w:szCs w:val="28"/>
          <w:lang w:val="en-US" w:eastAsia="zh-CN" w:bidi="ar-SA"/>
        </w:rPr>
        <w:t>焚烧秸秆问题后，</w:t>
      </w:r>
      <w:r>
        <w:rPr>
          <w:rFonts w:hint="eastAsia" w:ascii="仿宋" w:hAnsi="仿宋" w:eastAsia="仿宋" w:cs="仿宋"/>
          <w:b w:val="0"/>
          <w:kern w:val="2"/>
          <w:sz w:val="28"/>
          <w:szCs w:val="28"/>
          <w:lang w:val="en-US" w:eastAsia="zh-CN" w:bidi="ar-SA"/>
        </w:rPr>
        <w:t>要</w:t>
      </w:r>
      <w:r>
        <w:rPr>
          <w:rFonts w:hint="default" w:ascii="仿宋" w:hAnsi="仿宋" w:eastAsia="仿宋" w:cs="仿宋"/>
          <w:b w:val="0"/>
          <w:kern w:val="2"/>
          <w:sz w:val="28"/>
          <w:szCs w:val="28"/>
          <w:lang w:val="en-US" w:eastAsia="zh-CN" w:bidi="ar-SA"/>
        </w:rPr>
        <w:t>及时</w:t>
      </w:r>
      <w:r>
        <w:rPr>
          <w:rFonts w:hint="eastAsia" w:ascii="仿宋" w:hAnsi="仿宋" w:eastAsia="仿宋" w:cs="仿宋"/>
          <w:b w:val="0"/>
          <w:kern w:val="2"/>
          <w:sz w:val="28"/>
          <w:szCs w:val="28"/>
          <w:lang w:val="en-US" w:eastAsia="zh-CN" w:bidi="ar-SA"/>
        </w:rPr>
        <w:t>开展</w:t>
      </w:r>
      <w:r>
        <w:rPr>
          <w:rFonts w:hint="default" w:ascii="仿宋" w:hAnsi="仿宋" w:eastAsia="仿宋" w:cs="仿宋"/>
          <w:b w:val="0"/>
          <w:kern w:val="2"/>
          <w:sz w:val="28"/>
          <w:szCs w:val="28"/>
          <w:lang w:val="en-US" w:eastAsia="zh-CN" w:bidi="ar-SA"/>
        </w:rPr>
        <w:t>调查，按照规定进行处理</w:t>
      </w:r>
      <w:r>
        <w:rPr>
          <w:rFonts w:hint="eastAsia" w:ascii="仿宋" w:hAnsi="仿宋" w:eastAsia="仿宋" w:cs="仿宋"/>
          <w:b w:val="0"/>
          <w:kern w:val="2"/>
          <w:sz w:val="28"/>
          <w:szCs w:val="28"/>
          <w:lang w:val="en-US" w:eastAsia="zh-CN" w:bidi="ar-SA"/>
        </w:rPr>
        <w:t>，并</w:t>
      </w:r>
      <w:r>
        <w:rPr>
          <w:rFonts w:hint="default" w:ascii="仿宋" w:hAnsi="仿宋" w:eastAsia="仿宋" w:cs="仿宋"/>
          <w:b w:val="0"/>
          <w:kern w:val="2"/>
          <w:sz w:val="28"/>
          <w:szCs w:val="28"/>
          <w:lang w:val="en-US" w:eastAsia="zh-CN" w:bidi="ar-SA"/>
        </w:rPr>
        <w:t>及时上报。</w:t>
      </w:r>
      <w:bookmarkStart w:id="150" w:name="_Toc32445"/>
    </w:p>
    <w:p>
      <w:pPr>
        <w:pStyle w:val="3"/>
        <w:bidi w:val="0"/>
        <w:rPr>
          <w:rFonts w:hint="default"/>
          <w:lang w:val="en-US" w:eastAsia="zh-CN"/>
        </w:rPr>
      </w:pPr>
      <w:bookmarkStart w:id="151" w:name="_Toc6263"/>
      <w:bookmarkStart w:id="152" w:name="_Toc14469"/>
      <w:r>
        <w:rPr>
          <w:rFonts w:hint="default"/>
          <w:lang w:val="en-US" w:eastAsia="zh-CN"/>
        </w:rPr>
        <w:t>5.3管控保障措施</w:t>
      </w:r>
      <w:bookmarkEnd w:id="150"/>
      <w:bookmarkEnd w:id="151"/>
      <w:bookmarkEnd w:id="152"/>
      <w:r>
        <w:rPr>
          <w:rFonts w:hint="default"/>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（1）科学设立</w:t>
      </w:r>
      <w:r>
        <w:rPr>
          <w:rFonts w:hint="eastAsia" w:ascii="仿宋" w:hAnsi="仿宋" w:eastAsia="仿宋" w:cs="仿宋"/>
          <w:b w:val="0"/>
          <w:kern w:val="2"/>
          <w:sz w:val="28"/>
          <w:szCs w:val="28"/>
          <w:lang w:val="en-US" w:eastAsia="zh-CN" w:bidi="ar-SA"/>
        </w:rPr>
        <w:t>网格</w:t>
      </w:r>
      <w:r>
        <w:rPr>
          <w:rFonts w:hint="default" w:ascii="仿宋" w:hAnsi="仿宋" w:eastAsia="仿宋" w:cs="仿宋"/>
          <w:b w:val="0"/>
          <w:kern w:val="2"/>
          <w:sz w:val="28"/>
          <w:szCs w:val="28"/>
          <w:lang w:val="en-US" w:eastAsia="zh-CN" w:bidi="ar-SA"/>
        </w:rPr>
        <w:t>，安排人员开展巡查处置工作，确保不发生火情</w:t>
      </w:r>
      <w:r>
        <w:rPr>
          <w:rFonts w:hint="eastAsia" w:ascii="仿宋" w:hAnsi="仿宋" w:eastAsia="仿宋" w:cs="仿宋"/>
          <w:b w:val="0"/>
          <w:kern w:val="2"/>
          <w:sz w:val="28"/>
          <w:szCs w:val="28"/>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（2）秸秆限烧区设置显示限烧区范围及限烧管控要求的警示牌，在特定时间，特定范围</w:t>
      </w:r>
      <w:r>
        <w:rPr>
          <w:rFonts w:hint="eastAsia" w:ascii="仿宋" w:hAnsi="仿宋" w:eastAsia="仿宋" w:cs="仿宋"/>
          <w:b w:val="0"/>
          <w:kern w:val="2"/>
          <w:sz w:val="28"/>
          <w:szCs w:val="28"/>
          <w:lang w:val="en-US" w:eastAsia="zh-CN" w:bidi="ar-SA"/>
        </w:rPr>
        <w:t>由村（社区）统一向乡镇（街道）申报，经批准后由村</w:t>
      </w:r>
      <w:r>
        <w:rPr>
          <w:rFonts w:hint="default" w:ascii="仿宋" w:hAnsi="仿宋" w:eastAsia="仿宋" w:cs="仿宋"/>
          <w:b w:val="0"/>
          <w:kern w:val="2"/>
          <w:sz w:val="28"/>
          <w:szCs w:val="28"/>
          <w:lang w:val="en-US" w:eastAsia="zh-CN" w:bidi="ar-SA"/>
        </w:rPr>
        <w:t>组织</w:t>
      </w:r>
      <w:r>
        <w:rPr>
          <w:rFonts w:hint="eastAsia" w:ascii="仿宋" w:hAnsi="仿宋" w:eastAsia="仿宋" w:cs="仿宋"/>
          <w:b w:val="0"/>
          <w:kern w:val="2"/>
          <w:sz w:val="28"/>
          <w:szCs w:val="28"/>
          <w:lang w:val="en-US" w:eastAsia="zh-CN" w:bidi="ar-SA"/>
        </w:rPr>
        <w:t>在村干部或网格员的监督下开展</w:t>
      </w:r>
      <w:r>
        <w:rPr>
          <w:rFonts w:hint="default" w:ascii="仿宋" w:hAnsi="仿宋" w:eastAsia="仿宋" w:cs="仿宋"/>
          <w:b w:val="0"/>
          <w:kern w:val="2"/>
          <w:sz w:val="28"/>
          <w:szCs w:val="28"/>
          <w:lang w:val="en-US" w:eastAsia="zh-CN" w:bidi="ar-SA"/>
        </w:rPr>
        <w:t>有秩序的焚烧秸秆</w:t>
      </w:r>
      <w:r>
        <w:rPr>
          <w:rFonts w:hint="eastAsia" w:ascii="仿宋" w:hAnsi="仿宋" w:eastAsia="仿宋" w:cs="仿宋"/>
          <w:b w:val="0"/>
          <w:kern w:val="2"/>
          <w:sz w:val="28"/>
          <w:szCs w:val="28"/>
          <w:lang w:val="en-US" w:eastAsia="zh-CN" w:bidi="ar-SA"/>
        </w:rPr>
        <w:t>，并将审批情况分别上报邵阳市生态环境局双清区分局、双清区农业农村局、双清区森林防火指挥部办公室等。</w:t>
      </w:r>
    </w:p>
    <w:p>
      <w:pPr>
        <w:keepNext w:val="0"/>
        <w:keepLines w:val="0"/>
        <w:pageBreakBefore w:val="0"/>
        <w:widowControl w:val="0"/>
        <w:suppressLineNumbers w:val="0"/>
        <w:kinsoku/>
        <w:wordWrap/>
        <w:overflowPunct/>
        <w:topLinePunct w:val="0"/>
        <w:autoSpaceDE/>
        <w:autoSpaceDN/>
        <w:bidi w:val="0"/>
        <w:adjustRightInd/>
        <w:snapToGrid/>
        <w:ind w:firstLine="280" w:firstLineChars="1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（3）重点管控时段安排禁烧宣传员，对秸秆禁烧的政策法律法规以及严厉的处罚措施进行宣讲</w:t>
      </w:r>
      <w:r>
        <w:rPr>
          <w:rFonts w:hint="eastAsia" w:ascii="仿宋" w:hAnsi="仿宋" w:eastAsia="仿宋" w:cs="仿宋"/>
          <w:b w:val="0"/>
          <w:kern w:val="2"/>
          <w:sz w:val="28"/>
          <w:szCs w:val="28"/>
          <w:lang w:val="en-US" w:eastAsia="zh-CN" w:bidi="ar-SA"/>
        </w:rPr>
        <w:t>。</w:t>
      </w:r>
    </w:p>
    <w:p>
      <w:pPr>
        <w:pStyle w:val="3"/>
        <w:bidi w:val="0"/>
        <w:rPr>
          <w:rFonts w:hint="default"/>
          <w:lang w:val="en-US" w:eastAsia="zh-CN"/>
        </w:rPr>
      </w:pPr>
      <w:bookmarkStart w:id="153" w:name="_Toc10043"/>
      <w:bookmarkStart w:id="154" w:name="_Toc28901"/>
      <w:bookmarkStart w:id="155" w:name="_Toc3045"/>
      <w:bookmarkStart w:id="156" w:name="_Toc15629"/>
      <w:bookmarkStart w:id="157" w:name="_Toc887"/>
      <w:r>
        <w:rPr>
          <w:rFonts w:hint="default"/>
          <w:lang w:val="en-US" w:eastAsia="zh-CN"/>
        </w:rPr>
        <w:t>5.4 秸秆离田管理措施</w:t>
      </w:r>
      <w:bookmarkEnd w:id="153"/>
      <w:bookmarkEnd w:id="154"/>
      <w:bookmarkEnd w:id="155"/>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（1）大力推广秸秆捡拾打捆、离田机械化作业技术，认真做好秸秆离田、集中清运工作，通过秸秆离田解决秸秆禁烧难题。</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（2）加大秸秆还田工作力度，大力推广秸秆覆盖还田保护性耕作、玉米秸秆深翻还田等技术，提高还田质量，鼓励农民把秸秆就地转化利用。</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default" w:ascii="仿宋" w:hAnsi="仿宋" w:eastAsia="仿宋" w:cs="仿宋"/>
          <w:b w:val="0"/>
          <w:kern w:val="2"/>
          <w:sz w:val="28"/>
          <w:szCs w:val="28"/>
          <w:lang w:val="en-US" w:eastAsia="zh-CN" w:bidi="ar-SA"/>
        </w:rPr>
        <w:t>（3）积极动员开展秸秆肥料化、饲料化、</w:t>
      </w:r>
      <w:r>
        <w:rPr>
          <w:rFonts w:hint="eastAsia" w:ascii="仿宋" w:hAnsi="仿宋" w:eastAsia="仿宋" w:cs="仿宋"/>
          <w:b w:val="0"/>
          <w:kern w:val="2"/>
          <w:sz w:val="28"/>
          <w:szCs w:val="28"/>
          <w:lang w:val="en-US" w:eastAsia="zh-CN" w:bidi="ar-SA"/>
        </w:rPr>
        <w:t>燃料</w:t>
      </w:r>
      <w:r>
        <w:rPr>
          <w:rFonts w:hint="default" w:ascii="仿宋" w:hAnsi="仿宋" w:eastAsia="仿宋" w:cs="仿宋"/>
          <w:b w:val="0"/>
          <w:kern w:val="2"/>
          <w:sz w:val="28"/>
          <w:szCs w:val="28"/>
          <w:lang w:val="en-US" w:eastAsia="zh-CN" w:bidi="ar-SA"/>
        </w:rPr>
        <w:t>化、基料化、原料化利用，变废为宝，提高秸秆综合利用率。</w:t>
      </w:r>
    </w:p>
    <w:p>
      <w:pPr>
        <w:pStyle w:val="3"/>
        <w:bidi w:val="0"/>
        <w:rPr>
          <w:rFonts w:hint="default"/>
          <w:lang w:val="en-US" w:eastAsia="zh-CN"/>
        </w:rPr>
      </w:pPr>
      <w:bookmarkStart w:id="158" w:name="_Toc12224"/>
      <w:bookmarkStart w:id="159" w:name="_Toc7782"/>
      <w:bookmarkStart w:id="160" w:name="_Toc22953"/>
      <w:r>
        <w:rPr>
          <w:rFonts w:hint="default"/>
          <w:lang w:val="en-US" w:eastAsia="zh-CN"/>
        </w:rPr>
        <w:t>5.5 禁烧区管理规定</w:t>
      </w:r>
      <w:bookmarkEnd w:id="158"/>
      <w:bookmarkEnd w:id="159"/>
      <w:bookmarkEnd w:id="160"/>
    </w:p>
    <w:bookmarkEnd w:id="156"/>
    <w:bookmarkEnd w:id="157"/>
    <w:p>
      <w:pPr>
        <w:pStyle w:val="5"/>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560" w:firstLineChars="200"/>
        <w:jc w:val="both"/>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根据相关垃圾秸秆禁烧相关法律法规条款，</w:t>
      </w:r>
      <w:r>
        <w:rPr>
          <w:rFonts w:hint="default" w:ascii="仿宋" w:hAnsi="仿宋" w:eastAsia="仿宋" w:cs="仿宋"/>
          <w:b w:val="0"/>
          <w:kern w:val="2"/>
          <w:sz w:val="28"/>
          <w:szCs w:val="28"/>
          <w:lang w:val="en-US" w:eastAsia="zh-CN" w:bidi="ar-SA"/>
        </w:rPr>
        <w:t>在秸秆禁烧范围内</w:t>
      </w:r>
      <w:r>
        <w:rPr>
          <w:rFonts w:hint="eastAsia" w:ascii="仿宋" w:hAnsi="仿宋" w:eastAsia="仿宋" w:cs="仿宋"/>
          <w:b w:val="0"/>
          <w:kern w:val="2"/>
          <w:sz w:val="28"/>
          <w:szCs w:val="28"/>
          <w:lang w:val="en-US" w:eastAsia="zh-CN" w:bidi="ar-SA"/>
        </w:rPr>
        <w:t>或在限烧区禁烧时段</w:t>
      </w:r>
      <w:r>
        <w:rPr>
          <w:rFonts w:hint="default" w:ascii="仿宋" w:hAnsi="仿宋" w:eastAsia="仿宋" w:cs="仿宋"/>
          <w:b w:val="0"/>
          <w:kern w:val="2"/>
          <w:sz w:val="28"/>
          <w:szCs w:val="28"/>
          <w:lang w:val="en-US" w:eastAsia="zh-CN" w:bidi="ar-SA"/>
        </w:rPr>
        <w:t>露天焚烧秸秆的行为，</w:t>
      </w:r>
      <w:r>
        <w:rPr>
          <w:rFonts w:hint="eastAsia" w:ascii="仿宋" w:hAnsi="仿宋" w:eastAsia="仿宋" w:cs="仿宋"/>
          <w:b w:val="0"/>
          <w:kern w:val="2"/>
          <w:sz w:val="28"/>
          <w:szCs w:val="28"/>
          <w:lang w:val="en-US" w:eastAsia="zh-CN" w:bidi="ar-SA"/>
        </w:rPr>
        <w:t>会得到相应的处罚。</w:t>
      </w:r>
    </w:p>
    <w:p>
      <w:pPr>
        <w:pStyle w:val="5"/>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560" w:firstLineChars="200"/>
        <w:jc w:val="both"/>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中华人民共和国大气污染防治法》第一百一十九条规定，露天焚烧秸秆、落叶、杂草、垃圾等产生烟尘污染物质的，由县级以上地方人民政府确定的监督管理部门责令改正，并可以处五百元以上二千元以下的罚款。情节严重的由公安机关依法予以治安管理处罚；构成犯罪的，依法追究刑事责任。</w:t>
      </w:r>
    </w:p>
    <w:p>
      <w:pPr>
        <w:pStyle w:val="5"/>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560" w:firstLineChars="200"/>
        <w:jc w:val="both"/>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2、依据《邵阳市乡村清洁条例》第十七条第五款规定，任何单位和个人不得破坏乡村清洁，禁止焚烧垃圾及露天焚烧秸秆、落叶等。</w:t>
      </w:r>
    </w:p>
    <w:p>
      <w:pPr>
        <w:pStyle w:val="5"/>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560" w:firstLineChars="200"/>
        <w:jc w:val="both"/>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第十九条规定，违反本条例第十七条规定，焚烧垃圾的，由县级以上人民政府生态环境主管部门责令停止违法行为，没收违法所得，对单位处五万元以上五十万元以下的罚款，对个人处一百元以上五百元以下的罚款。</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本方案自公布之日起执行。</w:t>
      </w:r>
    </w:p>
    <w:p>
      <w:pPr>
        <w:numPr>
          <w:ilvl w:val="0"/>
          <w:numId w:val="0"/>
        </w:numPr>
        <w:ind w:firstLine="560" w:firstLineChars="200"/>
        <w:rPr>
          <w:rFonts w:hint="default" w:ascii="仿宋" w:hAnsi="仿宋" w:eastAsia="仿宋" w:cs="仿宋"/>
          <w:sz w:val="28"/>
          <w:szCs w:val="28"/>
          <w:lang w:val="en-US" w:eastAsia="zh-C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FA5FF4-D8F0-4025-9A41-5F4CCE2747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CD48F5-A24A-473E-9B7A-82304507E1ED}"/>
  </w:font>
  <w:font w:name="方正小标宋简体">
    <w:panose1 w:val="02000000000000000000"/>
    <w:charset w:val="86"/>
    <w:family w:val="auto"/>
    <w:pitch w:val="default"/>
    <w:sig w:usb0="00000001" w:usb1="08000000" w:usb2="00000000" w:usb3="00000000" w:csb0="00040000" w:csb1="00000000"/>
    <w:embedRegular r:id="rId3" w:fontKey="{1162D039-ADEF-44BA-97CD-9A0971571B2B}"/>
  </w:font>
  <w:font w:name="方正隶书简体">
    <w:altName w:val="宋体"/>
    <w:panose1 w:val="02010601030101010101"/>
    <w:charset w:val="86"/>
    <w:family w:val="auto"/>
    <w:pitch w:val="default"/>
    <w:sig w:usb0="00000000" w:usb1="00000000" w:usb2="00000000" w:usb3="00000000" w:csb0="00040000" w:csb1="00000000"/>
    <w:embedRegular r:id="rId4" w:fontKey="{627E8E6E-2ABA-48ED-BB39-5A7A27414A0C}"/>
  </w:font>
  <w:font w:name="方正仿宋_GBK">
    <w:panose1 w:val="02000000000000000000"/>
    <w:charset w:val="86"/>
    <w:family w:val="script"/>
    <w:pitch w:val="default"/>
    <w:sig w:usb0="A00002BF" w:usb1="38CF7CFA" w:usb2="00082016" w:usb3="00000000" w:csb0="00040001" w:csb1="00000000"/>
    <w:embedRegular r:id="rId5" w:fontKey="{B4250A68-045C-495C-9459-B2BD03AF08A0}"/>
  </w:font>
  <w:font w:name="楷体_GB2312">
    <w:altName w:val="楷体"/>
    <w:panose1 w:val="02010609030101010101"/>
    <w:charset w:val="86"/>
    <w:family w:val="auto"/>
    <w:pitch w:val="default"/>
    <w:sig w:usb0="00000000" w:usb1="00000000" w:usb2="00000000" w:usb3="00000000" w:csb0="00040000" w:csb1="00000000"/>
    <w:embedRegular r:id="rId6" w:fontKey="{00A28FE8-DFA8-42DC-9FC0-A60AAC6420AE}"/>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7" w:fontKey="{A9486930-2CAA-42DD-83D8-62DA2E0575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0A559"/>
    <w:multiLevelType w:val="singleLevel"/>
    <w:tmpl w:val="0EC0A55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MmQyMDQ4MmU2ZjZhYjFkM2EwNWJhMzhmNmJhOTIifQ=="/>
    <w:docVar w:name="KSO_WPS_MARK_KEY" w:val="68c80d8c-b4d0-4ec7-b152-b1cc70d354d3"/>
  </w:docVars>
  <w:rsids>
    <w:rsidRoot w:val="46BF0B4A"/>
    <w:rsid w:val="00920750"/>
    <w:rsid w:val="009550EE"/>
    <w:rsid w:val="016C71F3"/>
    <w:rsid w:val="01EE7C08"/>
    <w:rsid w:val="02B8562E"/>
    <w:rsid w:val="04455AD9"/>
    <w:rsid w:val="045C02B7"/>
    <w:rsid w:val="049802FF"/>
    <w:rsid w:val="04C96823"/>
    <w:rsid w:val="05602200"/>
    <w:rsid w:val="05A76A4C"/>
    <w:rsid w:val="06167EA8"/>
    <w:rsid w:val="066A0F99"/>
    <w:rsid w:val="06CD15CF"/>
    <w:rsid w:val="06F54E7E"/>
    <w:rsid w:val="07D24F8D"/>
    <w:rsid w:val="090B72F2"/>
    <w:rsid w:val="09363959"/>
    <w:rsid w:val="09497E1A"/>
    <w:rsid w:val="09AC6783"/>
    <w:rsid w:val="09E031CD"/>
    <w:rsid w:val="09ED2E9B"/>
    <w:rsid w:val="0A693121"/>
    <w:rsid w:val="0AE93662"/>
    <w:rsid w:val="0B6368CD"/>
    <w:rsid w:val="0D0A633E"/>
    <w:rsid w:val="0D400DBB"/>
    <w:rsid w:val="0DCC3295"/>
    <w:rsid w:val="0E2350DD"/>
    <w:rsid w:val="0F0547E3"/>
    <w:rsid w:val="0F346E76"/>
    <w:rsid w:val="0F5337A0"/>
    <w:rsid w:val="0F71399A"/>
    <w:rsid w:val="0FD867A8"/>
    <w:rsid w:val="0FFA327D"/>
    <w:rsid w:val="10624CB7"/>
    <w:rsid w:val="10BB15FD"/>
    <w:rsid w:val="10BE10ED"/>
    <w:rsid w:val="1213611A"/>
    <w:rsid w:val="1288550F"/>
    <w:rsid w:val="12A34D0B"/>
    <w:rsid w:val="13026ECB"/>
    <w:rsid w:val="13465FE5"/>
    <w:rsid w:val="143532F8"/>
    <w:rsid w:val="146A5814"/>
    <w:rsid w:val="156357CE"/>
    <w:rsid w:val="182E4DAB"/>
    <w:rsid w:val="182E6B59"/>
    <w:rsid w:val="187F1162"/>
    <w:rsid w:val="18C33745"/>
    <w:rsid w:val="19322678"/>
    <w:rsid w:val="19852DBC"/>
    <w:rsid w:val="19D47AF5"/>
    <w:rsid w:val="1A4E294D"/>
    <w:rsid w:val="1A562397"/>
    <w:rsid w:val="1ABF7E39"/>
    <w:rsid w:val="1BB3482F"/>
    <w:rsid w:val="1C636656"/>
    <w:rsid w:val="1CBC0BD7"/>
    <w:rsid w:val="1CD910E8"/>
    <w:rsid w:val="1D4E55A7"/>
    <w:rsid w:val="1D840FC9"/>
    <w:rsid w:val="1D90796E"/>
    <w:rsid w:val="1DBE78CB"/>
    <w:rsid w:val="1E6C0F65"/>
    <w:rsid w:val="1F775289"/>
    <w:rsid w:val="201F4D09"/>
    <w:rsid w:val="206E043A"/>
    <w:rsid w:val="2173382E"/>
    <w:rsid w:val="2188552B"/>
    <w:rsid w:val="22C97BAA"/>
    <w:rsid w:val="22FA4207"/>
    <w:rsid w:val="23053190"/>
    <w:rsid w:val="2309444A"/>
    <w:rsid w:val="235F3894"/>
    <w:rsid w:val="23AD74CB"/>
    <w:rsid w:val="23E30342"/>
    <w:rsid w:val="24AA060D"/>
    <w:rsid w:val="2593449F"/>
    <w:rsid w:val="25E32B9B"/>
    <w:rsid w:val="25F9581A"/>
    <w:rsid w:val="26220F83"/>
    <w:rsid w:val="26A05BAF"/>
    <w:rsid w:val="278319F6"/>
    <w:rsid w:val="279A1B15"/>
    <w:rsid w:val="283659BC"/>
    <w:rsid w:val="2A001AC9"/>
    <w:rsid w:val="2A465E57"/>
    <w:rsid w:val="2AB745EE"/>
    <w:rsid w:val="2B894773"/>
    <w:rsid w:val="2D4B565F"/>
    <w:rsid w:val="2E960B5C"/>
    <w:rsid w:val="2EBB28EC"/>
    <w:rsid w:val="2EBE07DF"/>
    <w:rsid w:val="2F3F11F4"/>
    <w:rsid w:val="2FA12DB4"/>
    <w:rsid w:val="30093882"/>
    <w:rsid w:val="301B57BD"/>
    <w:rsid w:val="30A04FAC"/>
    <w:rsid w:val="30ED53AB"/>
    <w:rsid w:val="321150C9"/>
    <w:rsid w:val="32240C6C"/>
    <w:rsid w:val="328B4E7C"/>
    <w:rsid w:val="32BD6FFF"/>
    <w:rsid w:val="32EC3440"/>
    <w:rsid w:val="34525525"/>
    <w:rsid w:val="348D31EC"/>
    <w:rsid w:val="35380AC0"/>
    <w:rsid w:val="355F5CE3"/>
    <w:rsid w:val="360B1E2F"/>
    <w:rsid w:val="362F1FC2"/>
    <w:rsid w:val="36E0506A"/>
    <w:rsid w:val="3836436F"/>
    <w:rsid w:val="3836588A"/>
    <w:rsid w:val="3882287D"/>
    <w:rsid w:val="38F15A12"/>
    <w:rsid w:val="39A047C1"/>
    <w:rsid w:val="3A133549"/>
    <w:rsid w:val="3BBE5E16"/>
    <w:rsid w:val="3BD91CD7"/>
    <w:rsid w:val="3CBE7BFC"/>
    <w:rsid w:val="3D0E4178"/>
    <w:rsid w:val="3D2F28A7"/>
    <w:rsid w:val="3D5757BF"/>
    <w:rsid w:val="3DA3368B"/>
    <w:rsid w:val="3F583BD9"/>
    <w:rsid w:val="3FA94B93"/>
    <w:rsid w:val="40495A89"/>
    <w:rsid w:val="41BD2B78"/>
    <w:rsid w:val="42A26B08"/>
    <w:rsid w:val="43301127"/>
    <w:rsid w:val="4343237E"/>
    <w:rsid w:val="43546DE3"/>
    <w:rsid w:val="43615785"/>
    <w:rsid w:val="436513C0"/>
    <w:rsid w:val="43FB7987"/>
    <w:rsid w:val="454E275B"/>
    <w:rsid w:val="45513550"/>
    <w:rsid w:val="457E0AB0"/>
    <w:rsid w:val="46BF0B4A"/>
    <w:rsid w:val="47791740"/>
    <w:rsid w:val="48484614"/>
    <w:rsid w:val="484E4529"/>
    <w:rsid w:val="48C15FC8"/>
    <w:rsid w:val="49EB7B56"/>
    <w:rsid w:val="4A171172"/>
    <w:rsid w:val="4A1878A4"/>
    <w:rsid w:val="4B496EC4"/>
    <w:rsid w:val="4BF32505"/>
    <w:rsid w:val="4C942727"/>
    <w:rsid w:val="4CB827BB"/>
    <w:rsid w:val="4CBF247D"/>
    <w:rsid w:val="4DBC3274"/>
    <w:rsid w:val="4E6C0CAD"/>
    <w:rsid w:val="4E862EC6"/>
    <w:rsid w:val="4F846A83"/>
    <w:rsid w:val="4F8B1E58"/>
    <w:rsid w:val="4FA24267"/>
    <w:rsid w:val="50982EE3"/>
    <w:rsid w:val="50D04064"/>
    <w:rsid w:val="50F94038"/>
    <w:rsid w:val="510A120A"/>
    <w:rsid w:val="51325472"/>
    <w:rsid w:val="5144296E"/>
    <w:rsid w:val="52E07BC5"/>
    <w:rsid w:val="53C51418"/>
    <w:rsid w:val="53F32429"/>
    <w:rsid w:val="54080A79"/>
    <w:rsid w:val="54CB77E9"/>
    <w:rsid w:val="552D64D4"/>
    <w:rsid w:val="55FA340B"/>
    <w:rsid w:val="564451BE"/>
    <w:rsid w:val="565C5375"/>
    <w:rsid w:val="56772E9D"/>
    <w:rsid w:val="57961A49"/>
    <w:rsid w:val="57BC36F9"/>
    <w:rsid w:val="57D1482F"/>
    <w:rsid w:val="581B0677"/>
    <w:rsid w:val="588548A0"/>
    <w:rsid w:val="58A2547A"/>
    <w:rsid w:val="58AC2BA6"/>
    <w:rsid w:val="58AE4E58"/>
    <w:rsid w:val="59682F71"/>
    <w:rsid w:val="599B6DB6"/>
    <w:rsid w:val="5A667177"/>
    <w:rsid w:val="5B0945B5"/>
    <w:rsid w:val="5B336F5D"/>
    <w:rsid w:val="5C044ACF"/>
    <w:rsid w:val="5C514191"/>
    <w:rsid w:val="5CAD079C"/>
    <w:rsid w:val="5CEB6393"/>
    <w:rsid w:val="5D7730DF"/>
    <w:rsid w:val="5DF9329E"/>
    <w:rsid w:val="5EE20E9C"/>
    <w:rsid w:val="601C6864"/>
    <w:rsid w:val="60764365"/>
    <w:rsid w:val="62532C70"/>
    <w:rsid w:val="631E3720"/>
    <w:rsid w:val="63E37DC4"/>
    <w:rsid w:val="644D7933"/>
    <w:rsid w:val="64B61035"/>
    <w:rsid w:val="650E12AA"/>
    <w:rsid w:val="681774EF"/>
    <w:rsid w:val="687B577F"/>
    <w:rsid w:val="68B7537B"/>
    <w:rsid w:val="694B03CC"/>
    <w:rsid w:val="69C02B47"/>
    <w:rsid w:val="6AAE45BB"/>
    <w:rsid w:val="6B36373A"/>
    <w:rsid w:val="6B3D18AE"/>
    <w:rsid w:val="6BC16F6A"/>
    <w:rsid w:val="6C8B165E"/>
    <w:rsid w:val="6C9F5B5A"/>
    <w:rsid w:val="6D0D7296"/>
    <w:rsid w:val="6D844FBF"/>
    <w:rsid w:val="6D9C0FE4"/>
    <w:rsid w:val="6DB85E1E"/>
    <w:rsid w:val="6DC347C2"/>
    <w:rsid w:val="6E8B26A2"/>
    <w:rsid w:val="6EC83C4E"/>
    <w:rsid w:val="6FA32AFD"/>
    <w:rsid w:val="6FF53AFC"/>
    <w:rsid w:val="6FFB3228"/>
    <w:rsid w:val="70581EA0"/>
    <w:rsid w:val="70AC600D"/>
    <w:rsid w:val="710C7BE6"/>
    <w:rsid w:val="71235CA4"/>
    <w:rsid w:val="72531FB4"/>
    <w:rsid w:val="729C3F60"/>
    <w:rsid w:val="72D5074F"/>
    <w:rsid w:val="737E3665"/>
    <w:rsid w:val="738E57E1"/>
    <w:rsid w:val="7399224D"/>
    <w:rsid w:val="739A060E"/>
    <w:rsid w:val="74412AEC"/>
    <w:rsid w:val="74732A9E"/>
    <w:rsid w:val="75292E35"/>
    <w:rsid w:val="75DA6B4D"/>
    <w:rsid w:val="766613FC"/>
    <w:rsid w:val="76FF0666"/>
    <w:rsid w:val="782C7B34"/>
    <w:rsid w:val="790A7AC2"/>
    <w:rsid w:val="79E955B1"/>
    <w:rsid w:val="7B0E2DD6"/>
    <w:rsid w:val="7C5F7DAC"/>
    <w:rsid w:val="7CFC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szCs w:val="24"/>
    </w:rPr>
  </w:style>
  <w:style w:type="paragraph" w:styleId="5">
    <w:name w:val="Body Text"/>
    <w:basedOn w:val="1"/>
    <w:next w:val="6"/>
    <w:qFormat/>
    <w:uiPriority w:val="0"/>
    <w:rPr>
      <w:sz w:val="24"/>
    </w:rPr>
  </w:style>
  <w:style w:type="paragraph" w:styleId="6">
    <w:name w:val="Body Text 2"/>
    <w:basedOn w:val="1"/>
    <w:qFormat/>
    <w:uiPriority w:val="99"/>
    <w:pPr>
      <w:spacing w:after="120" w:line="480" w:lineRule="auto"/>
    </w:pPr>
  </w:style>
  <w:style w:type="paragraph" w:styleId="7">
    <w:name w:val="toc 3"/>
    <w:basedOn w:val="1"/>
    <w:next w:val="1"/>
    <w:qFormat/>
    <w:uiPriority w:val="0"/>
    <w:pPr>
      <w:ind w:left="840" w:leftChars="4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qFormat/>
    <w:uiPriority w:val="0"/>
    <w:rPr>
      <w:color w:val="0000FF"/>
      <w:u w:val="single"/>
    </w:rPr>
  </w:style>
  <w:style w:type="character" w:customStyle="1" w:styleId="16">
    <w:name w:val="标题 2 Char"/>
    <w:link w:val="3"/>
    <w:qFormat/>
    <w:uiPriority w:val="0"/>
    <w:rPr>
      <w:rFonts w:ascii="Arial" w:hAnsi="Arial" w:eastAsia="黑体"/>
      <w:b/>
      <w:sz w:val="32"/>
    </w:rPr>
  </w:style>
  <w:style w:type="paragraph" w:customStyle="1" w:styleId="17">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character" w:customStyle="1" w:styleId="21">
    <w:name w:val="font31"/>
    <w:basedOn w:val="14"/>
    <w:qFormat/>
    <w:uiPriority w:val="0"/>
    <w:rPr>
      <w:rFonts w:hint="default" w:ascii="Times New Roman" w:hAnsi="Times New Roman" w:cs="Times New Roman"/>
      <w:color w:val="000000"/>
      <w:sz w:val="20"/>
      <w:szCs w:val="20"/>
      <w:u w:val="none"/>
    </w:rPr>
  </w:style>
  <w:style w:type="character" w:customStyle="1" w:styleId="22">
    <w:name w:val="font11"/>
    <w:basedOn w:val="14"/>
    <w:qFormat/>
    <w:uiPriority w:val="0"/>
    <w:rPr>
      <w:rFonts w:hint="eastAsia" w:ascii="宋体" w:hAnsi="宋体" w:eastAsia="宋体" w:cs="宋体"/>
      <w:color w:val="000000"/>
      <w:sz w:val="20"/>
      <w:szCs w:val="20"/>
      <w:u w:val="none"/>
    </w:rPr>
  </w:style>
  <w:style w:type="character" w:customStyle="1" w:styleId="23">
    <w:name w:val="font21"/>
    <w:basedOn w:val="14"/>
    <w:qFormat/>
    <w:uiPriority w:val="0"/>
    <w:rPr>
      <w:rFonts w:hint="default" w:ascii="Times New Roman" w:hAnsi="Times New Roman" w:cs="Times New Roman"/>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6579</Words>
  <Characters>6909</Characters>
  <Lines>0</Lines>
  <Paragraphs>0</Paragraphs>
  <TotalTime>4</TotalTime>
  <ScaleCrop>false</ScaleCrop>
  <LinksUpToDate>false</LinksUpToDate>
  <CharactersWithSpaces>7151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2024-07-28T02:54:00Z</dcterms:created>
  <dc:creator>骑蜗牛捡破烂</dc:creator>
  <cp:lastModifiedBy>^_^</cp:lastModifiedBy>
  <cp:lastPrinted>2024-08-15T10:39:00Z</cp:lastPrinted>
  <dcterms:modified xsi:type="dcterms:W3CDTF">2024-09-05T02:43:45Z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838DF4AA6B424E3D8E985F554338598F</vt:lpwstr>
  </property>
</Properties>
</file>