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2022年度邵阳市双清区自然资源局部门决算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邵阳市双清区自然资源局概况</w:t>
      </w:r>
      <w:r>
        <w:rPr>
          <w:color w:val="000000"/>
          <w:sz w:val="27"/>
          <w:szCs w:val="27"/>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2022年度部门决算表</w:t>
      </w:r>
      <w:r>
        <w:rPr>
          <w:color w:val="000000"/>
          <w:sz w:val="27"/>
          <w:szCs w:val="27"/>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七、政府性基金预算财政拨款收入支出决算表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八、国有资本经营预算财政拨款支出决算表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九、一般公共预算财政拨款“三公”经费支出决算表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b/>
          <w:bCs/>
          <w:color w:val="000000"/>
          <w:sz w:val="32"/>
          <w:szCs w:val="32"/>
        </w:rPr>
        <w:t>第三部分 2022年度部门决算情况说明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九、关于机关运行经费支出说明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十一、关于政府采购支出说明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十二、关于国有资产占用情况说明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十三、关于2022年度预算绩效情况的说明</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邵阳市双清区自然资源局概况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（一）依法履行全区城市开发边界线范围外的全民所有土地、矿产、森林、草原、湿地，水等自然资源资产所有者职责和国土空间用途管制职责。</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（二）负责实施全区自然资源基础调查、专项调查和动态监测，负责自然资源调查监测评价成果的监督管理和信息发布。负责全区自然资源调查监测评价工作。</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（三）负责城市开发边界线以外的自然资源统一确权工作。负责自然资源确权资料收集、整理、共享、汇交管理等。</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（四）负责自然资源的合理开发利用负责全区城市开发边界线范围外的自然资源合理开发利用。</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（五）区自然资源局贯彻落实党中央关于自然资源（林业和草原）工作的方针政策和决策部署。企面落实省委 市委，区委关于自然资源(林业和草原) 工作的部署要求在履行职责过程中坚持和加强党对自然资源(林业和草原)工作的集中统一领导。</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（六）负责管理全区地质工作和联系全区内地勘单位编制全区地质勘查规划并监督检查执行情况。</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（七）负责地质灾害预防和治理、负责落实综合防灾减灾规划相关要求，组织编制地质灾客防治规划并组织实施。承担地质灾害应急救援的技术支撑工作。</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（八）负责矿产资源管理工作。负责矿产资源储量管理及矿业权管理。监督指导矿产资源合理利用和保护。</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（九）负责测绘地理信息管理工作。</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（十）根据区委授权，对乡(镇、街道)以及园区相关部门落实区委、区政府关于自然资源和国土空间规划重大政策、决策部署及法律法规执行情况进行督察。</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一）贯彻落实中央、省、市林业相关的政策、法规、规章，负责林业及其生态保护修复的监督管理，拟订区级林业及其生态保护修复的政策、规划并组织实施组织林业生态保护修复和造林绿化工作。负责森林、湿地资源、石漠化防治工作的监督管理。负责陆生野生动植物资源监督管理，负责监督管理辖区内自然保护区、风景名胜区、自然遗产、地质公园等各类自然保护地。监督管理林业资金和国有资产，组织实施林业生态补偿工作。组织实施森林火灾防治规划，指导开展森林防火等相关工作。负责推进林业改革相关工作。</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（十二）完成区委、区政府交办的其他任务。</w:t>
      </w:r>
      <w:r>
        <w:rPr>
          <w:color w:val="000000"/>
          <w:sz w:val="32"/>
          <w:szCs w:val="32"/>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shd w:val="clear" w:fill="FFFFFF"/>
        </w:rPr>
        <w:t>邵阳市双清区自然资源局</w:t>
      </w:r>
      <w:r>
        <w:rPr>
          <w:rFonts w:hint="eastAsia" w:ascii="宋体" w:hAnsi="宋体" w:eastAsia="宋体" w:cs="宋体"/>
          <w:color w:val="000000"/>
          <w:sz w:val="32"/>
          <w:szCs w:val="32"/>
        </w:rPr>
        <w:t>内设机构包括：单位内设股室11个，分别为：办公室(人事股、财务股)、法规信息综合股(档案信息股、测绘股、政务服务办公室)、国土空间生态修复股、国土空间规划股(自然资源规划监管股)、国土空间用途管制股(自然资源开发利用股)、自然资源权籍调查监测和矿产资源保护监督股(地质勘查矿业权管理股)、林业股(森林防火股)、双清区火车自然资源中心所、双清区石桥自然资源中心所、双清区自然资源事务中心、邵阳市佘湖公园管理所。</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邵阳市双清区自然资源局无下属单位，因此，邵阳市双清区自然资源局2022年单位决算即邵阳市双清区自然资源局本级。</w:t>
      </w:r>
      <w:r>
        <w:rPr>
          <w:color w:val="000000"/>
          <w:sz w:val="27"/>
          <w:szCs w:val="27"/>
        </w:rPr>
        <w:t xml:space="preserve"> </w:t>
      </w:r>
    </w:p>
    <w:p>
      <w:pPr>
        <w:rPr>
          <w:color w:val="000000"/>
        </w:rPr>
        <w:sectPr>
          <w:pgSz w:w="11906" w:h="16838" w:orient="landscape"/>
          <w:pgMar w:top="1440" w:right="1080" w:bottom="1440" w:left="1080" w:header="851" w:footer="992" w:gutter="0"/>
          <w:paperSrc/>
          <w:cols w:space="0" w:num="1"/>
          <w:docGrid w:type="lines" w:linePitch="160" w:charSpace="0"/>
        </w:sectPr>
      </w:pPr>
    </w:p>
    <w:p>
      <w:pPr>
        <w:spacing w:before="0" w:beforeAutospacing="0" w:after="2" w:afterAutospacing="0"/>
        <w:ind w:left="0" w:firstLine="721"/>
        <w:jc w:val="center"/>
        <w:rPr>
          <w:sz w:val="21"/>
          <w:szCs w:val="21"/>
        </w:r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2022年度部门决算表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shd w:val="clear"/>
            <w:vAlign w:val="center"/>
          </w:tcPr>
          <w:p>
            <w:pPr>
              <w:pStyle w:val="9"/>
              <w:keepNext w:val="0"/>
              <w:keepLines w:val="0"/>
              <w:widowControl/>
              <w:suppressLineNumbers w:val="0"/>
            </w:pPr>
          </w:p>
        </w:tc>
        <w:tc>
          <w:tcPr>
            <w:tcW w:w="202" w:type="pct"/>
            <w:shd w:val="clear"/>
            <w:vAlign w:val="center"/>
          </w:tcPr>
          <w:p>
            <w:pPr>
              <w:pStyle w:val="9"/>
              <w:keepNext w:val="0"/>
              <w:keepLines w:val="0"/>
              <w:widowControl/>
              <w:suppressLineNumbers w:val="0"/>
            </w:pPr>
          </w:p>
        </w:tc>
        <w:tc>
          <w:tcPr>
            <w:tcW w:w="799" w:type="pct"/>
            <w:shd w:val="clear"/>
            <w:vAlign w:val="center"/>
          </w:tcPr>
          <w:p>
            <w:pPr>
              <w:pStyle w:val="9"/>
              <w:keepNext w:val="0"/>
              <w:keepLines w:val="0"/>
              <w:widowControl/>
              <w:suppressLineNumbers w:val="0"/>
            </w:pPr>
          </w:p>
        </w:tc>
        <w:tc>
          <w:tcPr>
            <w:tcW w:w="1497" w:type="pct"/>
            <w:shd w:val="clear"/>
            <w:vAlign w:val="center"/>
          </w:tcPr>
          <w:p>
            <w:pPr>
              <w:pStyle w:val="9"/>
              <w:keepNext w:val="0"/>
              <w:keepLines w:val="0"/>
              <w:widowControl/>
              <w:suppressLineNumbers w:val="0"/>
            </w:pP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部门：邵阳市双清区自然资源局 </w:t>
            </w: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647.73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66.29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714.02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682.12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62.99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94.89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777.01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777.01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注：1.本表反映部门本年度的总收支和年末结转结余情况。2.本套报表金额单位转换时可能存在尾数误差。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6"/>
        <w:gridCol w:w="356"/>
        <w:gridCol w:w="356"/>
        <w:gridCol w:w="3143"/>
        <w:gridCol w:w="2139"/>
        <w:gridCol w:w="1569"/>
        <w:gridCol w:w="1569"/>
        <w:gridCol w:w="1569"/>
        <w:gridCol w:w="1581"/>
        <w:gridCol w:w="182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11" w:type="pct"/>
            <w:shd w:val="clear"/>
            <w:vAlign w:val="center"/>
          </w:tcPr>
          <w:p>
            <w:pPr>
              <w:pStyle w:val="9"/>
              <w:keepNext w:val="0"/>
              <w:keepLines w:val="0"/>
              <w:widowControl/>
              <w:suppressLineNumbers w:val="0"/>
            </w:pPr>
          </w:p>
        </w:tc>
        <w:tc>
          <w:tcPr>
            <w:tcW w:w="111" w:type="pct"/>
            <w:shd w:val="clear"/>
            <w:vAlign w:val="center"/>
          </w:tcPr>
          <w:p>
            <w:pPr>
              <w:pStyle w:val="9"/>
              <w:keepNext w:val="0"/>
              <w:keepLines w:val="0"/>
              <w:widowControl/>
              <w:suppressLineNumbers w:val="0"/>
            </w:pPr>
          </w:p>
        </w:tc>
        <w:tc>
          <w:tcPr>
            <w:tcW w:w="111" w:type="pct"/>
            <w:shd w:val="clear"/>
            <w:vAlign w:val="center"/>
          </w:tcPr>
          <w:p>
            <w:pPr>
              <w:pStyle w:val="9"/>
              <w:keepNext w:val="0"/>
              <w:keepLines w:val="0"/>
              <w:widowControl/>
              <w:suppressLineNumbers w:val="0"/>
            </w:pPr>
          </w:p>
        </w:tc>
        <w:tc>
          <w:tcPr>
            <w:tcW w:w="979" w:type="pct"/>
            <w:shd w:val="clear"/>
            <w:vAlign w:val="center"/>
          </w:tcPr>
          <w:p>
            <w:pPr>
              <w:pStyle w:val="9"/>
              <w:keepNext w:val="0"/>
              <w:keepLines w:val="0"/>
              <w:widowControl/>
              <w:suppressLineNumbers w:val="0"/>
            </w:pPr>
          </w:p>
        </w:tc>
        <w:tc>
          <w:tcPr>
            <w:tcW w:w="667" w:type="pct"/>
            <w:shd w:val="clear"/>
            <w:vAlign w:val="center"/>
          </w:tcPr>
          <w:p>
            <w:pPr>
              <w:pStyle w:val="9"/>
              <w:keepNext w:val="0"/>
              <w:keepLines w:val="0"/>
              <w:widowControl/>
              <w:suppressLineNumbers w:val="0"/>
            </w:pPr>
          </w:p>
        </w:tc>
        <w:tc>
          <w:tcPr>
            <w:tcW w:w="489" w:type="pct"/>
            <w:shd w:val="clear"/>
            <w:vAlign w:val="center"/>
          </w:tcPr>
          <w:p>
            <w:pPr>
              <w:pStyle w:val="9"/>
              <w:keepNext w:val="0"/>
              <w:keepLines w:val="0"/>
              <w:widowControl/>
              <w:suppressLineNumbers w:val="0"/>
            </w:pPr>
          </w:p>
        </w:tc>
        <w:tc>
          <w:tcPr>
            <w:tcW w:w="489" w:type="pct"/>
            <w:shd w:val="clear"/>
            <w:vAlign w:val="center"/>
          </w:tcPr>
          <w:p>
            <w:pPr>
              <w:pStyle w:val="9"/>
              <w:keepNext w:val="0"/>
              <w:keepLines w:val="0"/>
              <w:widowControl/>
              <w:suppressLineNumbers w:val="0"/>
            </w:pPr>
          </w:p>
        </w:tc>
        <w:tc>
          <w:tcPr>
            <w:tcW w:w="489" w:type="pct"/>
            <w:shd w:val="clear"/>
            <w:vAlign w:val="center"/>
          </w:tcPr>
          <w:p>
            <w:pPr>
              <w:pStyle w:val="9"/>
              <w:keepNext w:val="0"/>
              <w:keepLines w:val="0"/>
              <w:widowControl/>
              <w:suppressLineNumbers w:val="0"/>
            </w:pPr>
          </w:p>
        </w:tc>
        <w:tc>
          <w:tcPr>
            <w:tcW w:w="489" w:type="pct"/>
            <w:shd w:val="clear"/>
            <w:vAlign w:val="center"/>
          </w:tcPr>
          <w:p>
            <w:pPr>
              <w:pStyle w:val="9"/>
              <w:keepNext w:val="0"/>
              <w:keepLines w:val="0"/>
              <w:widowControl/>
              <w:suppressLineNumbers w:val="0"/>
            </w:pPr>
          </w:p>
        </w:tc>
        <w:tc>
          <w:tcPr>
            <w:tcW w:w="1059"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4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部门：邵阳市双清区自然资源局 </w:t>
            </w:r>
          </w:p>
        </w:tc>
        <w:tc>
          <w:tcPr>
            <w:tcW w:w="1059"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3" w:type="pct"/>
            <w:gridSpan w:val="4"/>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13" w:type="pct"/>
            <w:gridSpan w:val="4"/>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714.02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647.73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财政对其他社会保险基金的补助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2.46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2.46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2082701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财政对失业保险基金的补助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0.87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0.87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2082702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财政对工伤保险基金的补助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14.73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14.73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2101199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其他行政事业单位医疗支出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0.41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0.41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304.46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304.46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2130202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26.92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26.92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2130205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森林资源培育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106.40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106.40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2130209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森林生态效益补偿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8.45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8.45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2130234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林业草原防灾减灾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34.48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34.48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2130299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其他林业和草原支出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128.21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61.92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自然资源海洋气象等支出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自然资源事务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2200101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2200102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54.32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54.32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2200199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其他自然资源事务支出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7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6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8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105" w:type="pct"/>
            <w:shd w:val="clear"/>
            <w:vAlign w:val="center"/>
          </w:tcPr>
          <w:p>
            <w:pPr>
              <w:pStyle w:val="9"/>
              <w:keepNext w:val="0"/>
              <w:keepLines w:val="0"/>
              <w:widowControl/>
              <w:suppressLineNumbers w:val="0"/>
            </w:pPr>
          </w:p>
        </w:tc>
        <w:tc>
          <w:tcPr>
            <w:tcW w:w="753"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94" w:type="pct"/>
            <w:gridSpan w:val="8"/>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部门：邵阳市双清区自然资源局 </w:t>
            </w: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682.12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441.28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240.83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财政对其他社会保险基金的补助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财政对失业保险基金的补助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财政对工伤保险基金的补助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其他行政事业单位医疗支出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0.41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0.41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72.86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72.86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森林资源培育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106.40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28.59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77.81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森林生态效益补偿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8.45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8.45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2130234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林业草原防灾减灾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其他林业和草原支出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44.26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17.66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自然资源海洋气象等支出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75.51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自然资源事务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75.51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54.32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54.32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其他自然资源事务支出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34.38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34.38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34.38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34.38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34.38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34.38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486" w:type="pct"/>
            <w:shd w:val="clear"/>
            <w:vAlign w:val="center"/>
          </w:tcPr>
          <w:p>
            <w:pPr>
              <w:pStyle w:val="9"/>
              <w:keepNext w:val="0"/>
              <w:keepLines w:val="0"/>
              <w:widowControl/>
              <w:suppressLineNumbers w:val="0"/>
            </w:pPr>
          </w:p>
        </w:tc>
        <w:tc>
          <w:tcPr>
            <w:tcW w:w="1151"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664" w:type="pct"/>
            <w:shd w:val="clear"/>
            <w:vAlign w:val="center"/>
          </w:tcPr>
          <w:p>
            <w:pPr>
              <w:pStyle w:val="9"/>
              <w:keepNext w:val="0"/>
              <w:keepLines w:val="0"/>
              <w:widowControl/>
              <w:suppressLineNumbers w:val="0"/>
            </w:pPr>
          </w:p>
        </w:tc>
        <w:tc>
          <w:tcPr>
            <w:tcW w:w="456" w:type="pct"/>
            <w:shd w:val="clear"/>
            <w:vAlign w:val="center"/>
          </w:tcPr>
          <w:p>
            <w:pPr>
              <w:pStyle w:val="9"/>
              <w:keepNext w:val="0"/>
              <w:keepLines w:val="0"/>
              <w:widowControl/>
              <w:suppressLineNumbers w:val="0"/>
            </w:pP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87"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部门：邵阳市双清区自然资源局 </w:t>
            </w: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647.73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647.73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647.73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647.73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647.73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647.73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647.73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683" w:type="pct"/>
            <w:shd w:val="clear"/>
            <w:vAlign w:val="center"/>
          </w:tcPr>
          <w:p>
            <w:pPr>
              <w:pStyle w:val="9"/>
              <w:keepNext w:val="0"/>
              <w:keepLines w:val="0"/>
              <w:widowControl/>
              <w:suppressLineNumbers w:val="0"/>
            </w:pPr>
          </w:p>
        </w:tc>
        <w:tc>
          <w:tcPr>
            <w:tcW w:w="964" w:type="pct"/>
            <w:shd w:val="clear"/>
            <w:vAlign w:val="center"/>
          </w:tcPr>
          <w:p>
            <w:pPr>
              <w:pStyle w:val="9"/>
              <w:keepNext w:val="0"/>
              <w:keepLines w:val="0"/>
              <w:widowControl/>
              <w:suppressLineNumbers w:val="0"/>
            </w:pP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部门：邵阳市双清区自然资源局 </w:t>
            </w: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289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24"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24"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24"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647.73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406.90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30.64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28.17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财政对其他社会保险基金的补助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财政对失业保险基金的补助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2082702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财政对工伤保险基金的补助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15.14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其他行政事业单位医疗支出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0.41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0.41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72.86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238.18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72.86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森林资源培育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106.40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28.59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森林生态效益补偿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8.45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2130234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林业草原防灾减灾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其他林业和草原支出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44.26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自然资源海洋气象等支出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自然资源事务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344.39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268.88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54.32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其他自然资源事务支出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shd w:val="clear"/>
            <w:vAlign w:val="center"/>
          </w:tcPr>
          <w:p>
            <w:pPr>
              <w:pStyle w:val="9"/>
              <w:keepNext w:val="0"/>
              <w:keepLines w:val="0"/>
              <w:widowControl/>
              <w:suppressLineNumbers w:val="0"/>
            </w:pPr>
          </w:p>
        </w:tc>
        <w:tc>
          <w:tcPr>
            <w:tcW w:w="1053"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829"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632"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部门：邵阳市双清区自然资源局 </w:t>
            </w: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337.73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69.17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147.21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5.15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0.76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45.91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41.26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0.19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47.63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18.78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24.60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19.02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9.85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18.42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337.73 </w:t>
            </w:r>
          </w:p>
        </w:tc>
        <w:tc>
          <w:tcPr>
            <w:tcW w:w="2645" w:type="pct"/>
            <w:gridSpan w:val="5"/>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6"/>
        <w:gridCol w:w="346"/>
        <w:gridCol w:w="346"/>
        <w:gridCol w:w="3599"/>
        <w:gridCol w:w="1860"/>
        <w:gridCol w:w="2050"/>
        <w:gridCol w:w="1812"/>
        <w:gridCol w:w="1777"/>
        <w:gridCol w:w="1813"/>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8" w:type="pct"/>
            <w:shd w:val="clear"/>
            <w:vAlign w:val="center"/>
          </w:tcPr>
          <w:p>
            <w:pPr>
              <w:pStyle w:val="9"/>
              <w:keepNext w:val="0"/>
              <w:keepLines w:val="0"/>
              <w:widowControl/>
              <w:suppressLineNumbers w:val="0"/>
              <w:jc w:val="left"/>
            </w:pPr>
          </w:p>
        </w:tc>
        <w:tc>
          <w:tcPr>
            <w:tcW w:w="108" w:type="pct"/>
            <w:shd w:val="clear"/>
            <w:vAlign w:val="center"/>
          </w:tcPr>
          <w:p>
            <w:pPr>
              <w:pStyle w:val="9"/>
              <w:keepNext w:val="0"/>
              <w:keepLines w:val="0"/>
              <w:widowControl/>
              <w:suppressLineNumbers w:val="0"/>
              <w:jc w:val="left"/>
            </w:pPr>
          </w:p>
        </w:tc>
        <w:tc>
          <w:tcPr>
            <w:tcW w:w="108" w:type="pct"/>
            <w:shd w:val="clear"/>
            <w:vAlign w:val="center"/>
          </w:tcPr>
          <w:p>
            <w:pPr>
              <w:pStyle w:val="9"/>
              <w:keepNext w:val="0"/>
              <w:keepLines w:val="0"/>
              <w:widowControl/>
              <w:suppressLineNumbers w:val="0"/>
              <w:jc w:val="left"/>
            </w:pPr>
          </w:p>
        </w:tc>
        <w:tc>
          <w:tcPr>
            <w:tcW w:w="1122" w:type="pct"/>
            <w:shd w:val="clear"/>
            <w:vAlign w:val="center"/>
          </w:tcPr>
          <w:p>
            <w:pPr>
              <w:pStyle w:val="9"/>
              <w:keepNext w:val="0"/>
              <w:keepLines w:val="0"/>
              <w:widowControl/>
              <w:suppressLineNumbers w:val="0"/>
              <w:jc w:val="left"/>
            </w:pPr>
          </w:p>
        </w:tc>
        <w:tc>
          <w:tcPr>
            <w:tcW w:w="580" w:type="pct"/>
            <w:shd w:val="clear"/>
            <w:vAlign w:val="center"/>
          </w:tcPr>
          <w:p>
            <w:pPr>
              <w:pStyle w:val="9"/>
              <w:keepNext w:val="0"/>
              <w:keepLines w:val="0"/>
              <w:widowControl/>
              <w:suppressLineNumbers w:val="0"/>
              <w:jc w:val="left"/>
            </w:pPr>
          </w:p>
        </w:tc>
        <w:tc>
          <w:tcPr>
            <w:tcW w:w="639" w:type="pct"/>
            <w:shd w:val="clear"/>
            <w:vAlign w:val="center"/>
          </w:tcPr>
          <w:p>
            <w:pPr>
              <w:pStyle w:val="9"/>
              <w:keepNext w:val="0"/>
              <w:keepLines w:val="0"/>
              <w:widowControl/>
              <w:suppressLineNumbers w:val="0"/>
              <w:jc w:val="left"/>
            </w:pPr>
          </w:p>
        </w:tc>
        <w:tc>
          <w:tcPr>
            <w:tcW w:w="565" w:type="pct"/>
            <w:shd w:val="clear"/>
            <w:vAlign w:val="center"/>
          </w:tcPr>
          <w:p>
            <w:pPr>
              <w:pStyle w:val="9"/>
              <w:keepNext w:val="0"/>
              <w:keepLines w:val="0"/>
              <w:widowControl/>
              <w:suppressLineNumbers w:val="0"/>
              <w:jc w:val="left"/>
            </w:pPr>
          </w:p>
        </w:tc>
        <w:tc>
          <w:tcPr>
            <w:tcW w:w="551" w:type="pct"/>
            <w:shd w:val="clear"/>
            <w:vAlign w:val="center"/>
          </w:tcPr>
          <w:p>
            <w:pPr>
              <w:pStyle w:val="9"/>
              <w:keepNext w:val="0"/>
              <w:keepLines w:val="0"/>
              <w:widowControl/>
              <w:suppressLineNumbers w:val="0"/>
              <w:jc w:val="left"/>
            </w:pPr>
          </w:p>
        </w:tc>
        <w:tc>
          <w:tcPr>
            <w:tcW w:w="565" w:type="pct"/>
            <w:shd w:val="clear"/>
            <w:vAlign w:val="center"/>
          </w:tcPr>
          <w:p>
            <w:pPr>
              <w:pStyle w:val="9"/>
              <w:keepNext w:val="0"/>
              <w:keepLines w:val="0"/>
              <w:widowControl/>
              <w:suppressLineNumbers w:val="0"/>
              <w:jc w:val="left"/>
            </w:pPr>
          </w:p>
        </w:tc>
        <w:tc>
          <w:tcPr>
            <w:tcW w:w="649" w:type="pct"/>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84" w:type="pct"/>
            <w:gridSpan w:val="8"/>
            <w:shd w:val="clear"/>
            <w:vAlign w:val="center"/>
          </w:tcPr>
          <w:p>
            <w:pPr>
              <w:pStyle w:val="9"/>
              <w:keepNext w:val="0"/>
              <w:keepLines w:val="0"/>
              <w:widowControl/>
              <w:suppressLineNumbers w:val="0"/>
              <w:jc w:val="left"/>
            </w:pPr>
            <w:r>
              <w:rPr>
                <w:rFonts w:ascii="宋体" w:hAnsi="宋体" w:eastAsia="宋体" w:cs="宋体"/>
                <w:b w:val="0"/>
                <w:bCs w:val="0"/>
                <w:sz w:val="20"/>
                <w:szCs w:val="20"/>
              </w:rPr>
              <w:t xml:space="preserve">部门：邵阳市双清区自然资源局 </w:t>
            </w:r>
          </w:p>
        </w:tc>
        <w:tc>
          <w:tcPr>
            <w:tcW w:w="565" w:type="pct"/>
            <w:shd w:val="clear"/>
            <w:vAlign w:val="center"/>
          </w:tcPr>
          <w:p>
            <w:pPr>
              <w:pStyle w:val="9"/>
              <w:keepNext w:val="0"/>
              <w:keepLines w:val="0"/>
              <w:widowControl/>
              <w:suppressLineNumbers w:val="0"/>
              <w:jc w:val="left"/>
            </w:pPr>
          </w:p>
        </w:tc>
        <w:tc>
          <w:tcPr>
            <w:tcW w:w="649" w:type="pct"/>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6"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683" w:type="pct"/>
            <w:gridSpan w:val="3"/>
            <w:tcBorders>
              <w:top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vMerge w:val="restart"/>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restar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24" w:type="pct"/>
            <w:gridSpan w:val="3"/>
            <w:vMerge w:val="continue"/>
            <w:tcBorders>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vMerge w:val="continue"/>
            <w:tcBorders>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46" w:type="pct"/>
            <w:gridSpan w:val="4"/>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80"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39"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1"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649"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46" w:type="pct"/>
            <w:gridSpan w:val="4"/>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80"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3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1"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4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122" w:type="pct"/>
            <w:tcBorders>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80"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3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1"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4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122" w:type="pct"/>
            <w:tcBorders>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80"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3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1"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4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122" w:type="pct"/>
            <w:tcBorders>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80"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3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1"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4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122" w:type="pct"/>
            <w:tcBorders>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80"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3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1"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4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24" w:type="pct"/>
            <w:gridSpan w:val="3"/>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122" w:type="pct"/>
            <w:tcBorders>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80"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3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1"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4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24" w:type="pct"/>
            <w:gridSpan w:val="3"/>
            <w:tcBorders>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122" w:type="pct"/>
            <w:tcBorders>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80"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3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1"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65"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49" w:type="pct"/>
            <w:tcBorders>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2"/>
        <w:gridCol w:w="462"/>
        <w:gridCol w:w="462"/>
        <w:gridCol w:w="5507"/>
        <w:gridCol w:w="3047"/>
        <w:gridCol w:w="3047"/>
        <w:gridCol w:w="3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 w:type="pct"/>
            <w:shd w:val="clear"/>
            <w:vAlign w:val="center"/>
          </w:tcPr>
          <w:p>
            <w:pPr>
              <w:pStyle w:val="9"/>
              <w:keepNext w:val="0"/>
              <w:keepLines w:val="0"/>
              <w:widowControl/>
              <w:suppressLineNumbers w:val="0"/>
              <w:jc w:val="left"/>
            </w:pPr>
          </w:p>
        </w:tc>
        <w:tc>
          <w:tcPr>
            <w:tcW w:w="144" w:type="pct"/>
            <w:shd w:val="clear"/>
            <w:vAlign w:val="center"/>
          </w:tcPr>
          <w:p>
            <w:pPr>
              <w:pStyle w:val="9"/>
              <w:keepNext w:val="0"/>
              <w:keepLines w:val="0"/>
              <w:widowControl/>
              <w:suppressLineNumbers w:val="0"/>
              <w:jc w:val="left"/>
            </w:pPr>
          </w:p>
        </w:tc>
        <w:tc>
          <w:tcPr>
            <w:tcW w:w="144" w:type="pct"/>
            <w:shd w:val="clear"/>
            <w:vAlign w:val="center"/>
          </w:tcPr>
          <w:p>
            <w:pPr>
              <w:pStyle w:val="9"/>
              <w:keepNext w:val="0"/>
              <w:keepLines w:val="0"/>
              <w:widowControl/>
              <w:suppressLineNumbers w:val="0"/>
              <w:jc w:val="left"/>
            </w:pPr>
          </w:p>
        </w:tc>
        <w:tc>
          <w:tcPr>
            <w:tcW w:w="1716" w:type="pct"/>
            <w:shd w:val="clear"/>
            <w:vAlign w:val="center"/>
          </w:tcPr>
          <w:p>
            <w:pPr>
              <w:pStyle w:val="9"/>
              <w:keepNext w:val="0"/>
              <w:keepLines w:val="0"/>
              <w:widowControl/>
              <w:suppressLineNumbers w:val="0"/>
              <w:jc w:val="left"/>
            </w:pPr>
          </w:p>
        </w:tc>
        <w:tc>
          <w:tcPr>
            <w:tcW w:w="950" w:type="pct"/>
            <w:shd w:val="clear"/>
            <w:vAlign w:val="center"/>
          </w:tcPr>
          <w:p>
            <w:pPr>
              <w:pStyle w:val="9"/>
              <w:keepNext w:val="0"/>
              <w:keepLines w:val="0"/>
              <w:widowControl/>
              <w:suppressLineNumbers w:val="0"/>
              <w:jc w:val="right"/>
            </w:pPr>
          </w:p>
        </w:tc>
        <w:tc>
          <w:tcPr>
            <w:tcW w:w="1900"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49" w:type="pct"/>
            <w:gridSpan w:val="4"/>
            <w:shd w:val="clear"/>
            <w:vAlign w:val="center"/>
          </w:tcPr>
          <w:p>
            <w:pPr>
              <w:pStyle w:val="9"/>
              <w:keepNext w:val="0"/>
              <w:keepLines w:val="0"/>
              <w:widowControl/>
              <w:suppressLineNumbers w:val="0"/>
              <w:jc w:val="left"/>
            </w:pPr>
            <w:r>
              <w:rPr>
                <w:rFonts w:ascii="宋体" w:hAnsi="宋体" w:eastAsia="宋体" w:cs="宋体"/>
                <w:b w:val="0"/>
                <w:bCs w:val="0"/>
                <w:sz w:val="20"/>
                <w:szCs w:val="20"/>
              </w:rPr>
              <w:t xml:space="preserve">部门：邵阳市双清区自然资源局 </w:t>
            </w:r>
          </w:p>
        </w:tc>
        <w:tc>
          <w:tcPr>
            <w:tcW w:w="950" w:type="pct"/>
            <w:shd w:val="clear"/>
            <w:vAlign w:val="center"/>
          </w:tcPr>
          <w:p>
            <w:pPr>
              <w:pStyle w:val="9"/>
              <w:keepNext w:val="0"/>
              <w:keepLines w:val="0"/>
              <w:widowControl/>
              <w:suppressLineNumbers w:val="0"/>
              <w:jc w:val="right"/>
            </w:pPr>
          </w:p>
        </w:tc>
        <w:tc>
          <w:tcPr>
            <w:tcW w:w="1900"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32"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2850" w:type="pct"/>
            <w:gridSpan w:val="3"/>
            <w:tcBorders>
              <w:top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3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32" w:type="pct"/>
            <w:vMerge w:val="restar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3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32"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32"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49" w:type="pct"/>
            <w:gridSpan w:val="4"/>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50"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50"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50" w:type="pct"/>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49" w:type="pct"/>
            <w:gridSpan w:val="4"/>
            <w:tcBorders>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6"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部门：邵阳市双清区自然资源局 </w:t>
            </w: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 </w:t>
            </w:r>
          </w:p>
        </w:tc>
      </w:tr>
    </w:tbl>
    <w:p>
      <w:pPr>
        <w:pStyle w:val="9"/>
        <w:keepNext w:val="0"/>
        <w:keepLines w:val="0"/>
        <w:widowControl/>
        <w:suppressLineNumbers w:val="0"/>
      </w:pPr>
    </w:p>
    <w:p>
      <w:pPr>
        <w:rPr>
          <w:color w:val="000000"/>
        </w:rPr>
        <w:sectPr>
          <w:pgSz w:w="16838" w:h="11906"/>
          <w:pgMar w:top="1080" w:right="400" w:bottom="1080" w:left="400" w:header="851" w:footer="992" w:gutter="0"/>
          <w:paperSrc/>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2022年度部门决算情况说明</w:t>
      </w:r>
      <w:r>
        <w:rPr>
          <w:color w:val="000000"/>
          <w:sz w:val="21"/>
          <w:szCs w:val="21"/>
        </w:rPr>
        <w:t xml:space="preserve"> </w:t>
      </w:r>
    </w:p>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2022年度收、支总计777.01万元。与上一年度相比，收、支总计各增加312.37万元，增长67.23%。主要原因是上级拨付专项资金。</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2022年度收入合计714.02万元，其中：财政拨款收入647.73万元，占90.72%；上级补助收入0万元，占0%；事业收入0万元，占0%；经营收入0万元，占0%；附属单位上缴收入0万元，占0%；其他收入66.29万元，占9.28%。</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2022年度支出合计682.12万元，其中：基本支出441.28万元，占64.69%；项目支出240.83万元，占35.31%；上缴上级支出0万元，占0%；经营支出0万元，占0%；对附属单位补助支出0万元，占0%。</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2022年度财政拨款收、支总计647.73万元。与上一年度相比，财政拨款收、支总计各增加335万元，增长107.12%。主要原因是上级拨付专项资金。</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3"/>
        <w:spacing w:before="0" w:beforeAutospacing="0" w:after="2" w:afterAutospacing="0"/>
        <w:ind w:left="0" w:firstLine="855"/>
        <w:rPr>
          <w:sz w:val="27"/>
          <w:szCs w:val="27"/>
        </w:rPr>
      </w:pPr>
      <w:r>
        <w:rPr>
          <w:rFonts w:hint="eastAsia" w:ascii="宋体" w:hAnsi="宋体" w:eastAsia="宋体" w:cs="宋体"/>
          <w:color w:val="000000"/>
          <w:sz w:val="32"/>
          <w:szCs w:val="32"/>
        </w:rPr>
        <w:t>2022年度财政拨款支出647.73万元，占本年支出合计的94.96%。与上一年度相比，财政拨款支出增加335万元，增长107.12%。主要是因为上级拨付专项资金。</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2022年度财政拨款支出647.73万元，主要用于以下方面：社会保障和就业支出30.64万元，占4.73%；卫生健康支出15.14万元，占2.34%；农林水支出238.18万元，占36.77%；自然资源海洋气象等支出344.39万元，占53.17%；住房保障支出19.39万元，占2.99%。</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2022年度财政拨款支出年初预算数为298.61万元，支出决算数为647.73万元，完成年初预算的216.92%，其中：</w:t>
      </w:r>
      <w:r>
        <w:rPr>
          <w:color w:val="000000"/>
          <w:sz w:val="27"/>
          <w:szCs w:val="27"/>
        </w:rPr>
        <w:t xml:space="preserve"> </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年初预算为25.85万元，支出决算为28.17万元，完成年初预算的108.97%。决算数大于年初预算数的主要原因是：工资上调。</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2、社会保障和就业支出（类）财政对其他社会保险基金的补助（款）财政对失业保险基金的补助（项）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年初预算为0.87万元，支出决算为0.87万元，完成年初预算的100%。决算数与年初预算数一致，我单位严格按预算执行决算。</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3、社会保障和就业支出（类）财政对其他社会保险基金的补助（款）财政对工伤保险基金的补助（项）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年初预算为1.6万元，支出决算为1.6万元，完成年初预算的100%。决算数与年初预算数一致，我单位严格按预算执行决算。</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4、卫生健康支出（类）行政事业单位医疗（款）行政单位医疗（项）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年初预算为13.57万元，支出决算为14.73万元，完成年初预算的108.55%。决算数大于年初预算数的主要原因是：工资上调。</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5、卫生健康支出（类）行政事业单位医疗（款）其他行政事业单位医疗支出（项）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年初预算为0.42万元，支出决算为0.41万元，完成年初预算的97.62%。决算数小于年初预算数的主要原因是：公务员医疗补助未缴纳。</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6、农林水支出（类）林业和草原（款）一般行政管理事务（项）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年初预算为0万元，支出决算为26.92万元，超出年初预算的100%。决算数大于年初预算数的主要原因是：上级拨付专项资金。</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7、农林水支出（类）林业和草原（款）森林资源培育（项）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年初预算为0万元，支出决算为106.4万元，超出年初预算的100%。决算数大于年初预算数的主要原因是：上级拨付专项资金。</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8、农林水支出（类）林业和草原（款）森林生态效益补偿（项）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年初预算为0万元，支出决算为8.45万元，超出年初预算的100%。决算数大于年初预算数的主要原因是：上级拨付专项资金。</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9、农林水支出（类）林业和草原（款）林业草原防灾减灾（项）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年初预算为0万元，支出决算为34.48万元，超出年初预算的100%。决算数大于年初预算数的主要原因是：上级拨付专项资金。</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10、农林水支出（类）林业和草原（款）其他林业和草原支出（项）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年初预算为0万元，支出决算为61.92万元，超出年初预算的100%。决算数大于年初预算数的主要原因是：上级拨付专项资金。</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11、自然资源海洋气象等支出（类）自然资源事务（款）行政运行（项）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年初预算为163.13万元，支出决算为268.88万元，完成年初预算的164.83%。决算数大于年初预算数的主要原因是：上级拨付专项资金。</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12、自然资源海洋气象等支出（类）自然资源事务（款）一般行政管理事务（项）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年初预算为59.71万元，支出决算为54.32万元，完成年初预算的90.97%。决算数小于年初预算数的主要原因是：财政资金紧张，部分支出没有出账。</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13、自然资源海洋气象等支出（类）自然资源事务（款）其他自然资源事务支出（项）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年初预算为0万元，支出决算为21.19万元，超出年初预算的100%。决算数大于年初预算数的主要原因是：上级拨付专项资金。</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14、住房保障支出（类）住房改革支出（款）住房公积金（项）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年初预算为19.39万元，支出决算为19.39万元，完成年初预算的100%。决算数与年初预算数一致，我单位严格按预算执行决算。</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2022年度财政拨款基本支出406.9万元，其中：</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人员经费337.73万元，占基本支出的83%，主要包括：基本工资、津贴补贴、奖金、绩效工资、机关事业单位基本养老保险缴费、职业年金缴费、职工基本医疗保险缴费、其他社会保障缴费、住房公积金。</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公用经费69.17万元，占基本支出的17%，主要包括：办公费、印刷费、水费、电费、邮电费、差旅费、培训费、劳务费、委托业务费、工会经费、其他商品和服务支出。</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2022年度“三公”经费财政拨款支出预算为0万元，支出决算为0万元，其中：</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公务接待费支出预算为0万元，支出决算为0万元，决算数与预算数一致，我单位严格按预算执行决算，公务接待费支出与上年持平。</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公务用车运行维护费支出预算为0万元，支出决算为0万元，决算数与预算数一致，我单位严格按预算执行决算，公务用车运行维护费支出与上年持平。</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2022年度“三公”经费财政拨款支出决算中，公务接待费支出决算0万元，因公出国（境）费支出决算0万元，公务用车购置费及运行维护费支出决算0万元。其中：</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1、因公出国（境）费支出决算为0万元，全年安排因公出国（境）团组0个，累计0人次，我单位2022年度无因公出国（境）费支出。</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2、公务接待费支出决算为0万元，全年共接待来访团组0个、来宾0人次，我单位2022年度无公务接待费支出。</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2022年12月31日，我单位开支财政拨款的公务用车保有量为0辆。我单位2022年度无公务用车购置费及运行维护费支出。</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 xml:space="preserve">邵阳市双清区自然资源局2022年度没有政府性基金收入，也没有使用政府性基金安排的支出，并已公开空表。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 xml:space="preserve">邵阳市双清区自然资源局2022年度机关运行经费支出69.17万元，比上一年度减少11.32万元，下降14.06%。主要原因是：财政资金紧张，部分支出没有出账。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2022年度本单位支出会议费0万元，我单位2022年度无会议费支出；开支培训费1.82万元，主要为；事业单位工作人员平台培训费。</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3"/>
        <w:spacing w:before="0" w:beforeAutospacing="0" w:after="2" w:afterAutospacing="0"/>
        <w:ind w:left="0" w:firstLine="640"/>
        <w:jc w:val="both"/>
        <w:rPr>
          <w:sz w:val="27"/>
          <w:szCs w:val="27"/>
        </w:rPr>
      </w:pPr>
      <w:r>
        <w:rPr>
          <w:rFonts w:hint="eastAsia" w:ascii="宋体" w:hAnsi="宋体" w:eastAsia="宋体" w:cs="宋体"/>
          <w:color w:val="000000"/>
          <w:sz w:val="32"/>
          <w:szCs w:val="32"/>
          <w:shd w:val="clear" w:fill="FFFFFF"/>
        </w:rPr>
        <w:t>邵阳市双清区自然资源局</w:t>
      </w:r>
      <w:r>
        <w:rPr>
          <w:rFonts w:hint="eastAsia" w:ascii="宋体" w:hAnsi="宋体" w:eastAsia="宋体" w:cs="宋体"/>
          <w:color w:val="000000"/>
          <w:sz w:val="32"/>
          <w:szCs w:val="32"/>
        </w:rPr>
        <w:t>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ascii="宋体" w:hAnsi="宋体" w:eastAsia="宋体" w:cs="宋体"/>
          <w:color w:val="000000"/>
          <w:sz w:val="32"/>
          <w:szCs w:val="32"/>
        </w:rPr>
        <w:t>货物采购授予中小企业合同金额占货物支出金额的0%，工程采购授予中小企业合同金额占工程支出金额的0%，服务采购授予中小企业合同金额占服务支出金额的0%。</w:t>
      </w:r>
      <w:r>
        <w:rPr>
          <w:rFonts w:hint="eastAsia" w:ascii="宋体" w:hAnsi="宋体" w:eastAsia="宋体" w:cs="宋体"/>
          <w:color w:val="000000"/>
          <w:sz w:val="32"/>
          <w:szCs w:val="32"/>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截至2022年12月31日，</w:t>
      </w:r>
      <w:r>
        <w:rPr>
          <w:rFonts w:hint="eastAsia" w:ascii="宋体" w:hAnsi="宋体" w:eastAsia="宋体" w:cs="宋体"/>
          <w:color w:val="000000"/>
          <w:sz w:val="32"/>
          <w:szCs w:val="32"/>
          <w:shd w:val="clear" w:fill="FFFFFF"/>
        </w:rPr>
        <w:t>邵阳市双清区自然资源局</w:t>
      </w:r>
      <w:r>
        <w:rPr>
          <w:rFonts w:hint="eastAsia" w:ascii="宋体" w:hAnsi="宋体" w:eastAsia="宋体" w:cs="宋体"/>
          <w:color w:val="000000"/>
          <w:sz w:val="32"/>
          <w:szCs w:val="32"/>
        </w:rPr>
        <w:t>共有车辆0辆（台），其中：副部（省）级及以上领导用车0辆、主要领导干部用车0辆、机要通信用车0辆、应急保障用车0辆、执法执勤用车0辆、特种专业技术用车0辆、其他用车0辆；单价100万元（含）以上专用设备0台（套）。</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十三、关于2022年度预算绩效情况说明</w:t>
      </w:r>
      <w:r>
        <w:rPr>
          <w:color w:val="000000"/>
          <w:sz w:val="27"/>
          <w:szCs w:val="27"/>
        </w:rPr>
        <w:t xml:space="preserve"> </w:t>
      </w:r>
    </w:p>
    <w:p>
      <w:pPr>
        <w:pStyle w:val="13"/>
        <w:spacing w:before="0" w:beforeAutospacing="0" w:after="2" w:afterAutospacing="0"/>
        <w:ind w:left="0" w:firstLine="641"/>
        <w:rPr>
          <w:sz w:val="27"/>
          <w:szCs w:val="27"/>
        </w:rPr>
      </w:pPr>
      <w:r>
        <w:rPr>
          <w:rStyle w:val="12"/>
          <w:rFonts w:ascii="宋体" w:hAnsi="宋体" w:eastAsia="宋体" w:cs="宋体"/>
          <w:b/>
          <w:bCs/>
          <w:color w:val="000000"/>
          <w:sz w:val="32"/>
          <w:szCs w:val="32"/>
        </w:rPr>
        <w:t>（一）部门整体支出绩效情况</w:t>
      </w:r>
      <w:r>
        <w:rPr>
          <w:color w:val="000000"/>
          <w:sz w:val="27"/>
          <w:szCs w:val="27"/>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2022年严格卫片执法，确保土地利用规范有序。2021年共下发季度图斑70个，核实违法推填土类30余宗，目前大部分已复垦整改。近年来卫片执法中的项目违法用地已经清零，农村村民违法建私房也在逐步规范。月清“三地两矿”工作兴起于2020年2月，截至目前共下发二十六批次图斑，双清辖区内共下发图斑数300余个，经核实，共涉及违法图斑32个，我局严格按照省厅要求，立案查处到位，积极促进整改，在市级排名中，我区多次排名前三，2022年全年已实现零违法用地增长目标，截至目前，我区违法用地整改仅剩6个图斑（5宗地）未完成整改，整改率81.25％，位居全市第一。2022年我区松材线虫病5个小班拔除任务顺利完成，分别通过省林业局组织的专家组验收，国家林草局已正式发布公告，双清区松材线虫疫区成功拔除，为我市的松材线虫病防控工作作出了巨大贡献。</w:t>
      </w:r>
      <w:r>
        <w:rPr>
          <w:color w:val="000000"/>
          <w:sz w:val="27"/>
          <w:szCs w:val="27"/>
        </w:rPr>
        <w:t xml:space="preserve"> </w:t>
      </w:r>
    </w:p>
    <w:p>
      <w:pPr>
        <w:pStyle w:val="13"/>
        <w:spacing w:before="0" w:beforeAutospacing="0" w:after="2" w:afterAutospacing="0"/>
        <w:ind w:left="0" w:firstLine="641"/>
        <w:rPr>
          <w:sz w:val="27"/>
          <w:szCs w:val="27"/>
        </w:rPr>
      </w:pPr>
      <w:r>
        <w:rPr>
          <w:rStyle w:val="12"/>
          <w:rFonts w:ascii="宋体" w:hAnsi="宋体" w:eastAsia="宋体" w:cs="宋体"/>
          <w:b/>
          <w:bCs/>
          <w:color w:val="000000"/>
          <w:sz w:val="32"/>
          <w:szCs w:val="32"/>
        </w:rPr>
        <w:t>（二）存在的问题及原因分析</w:t>
      </w:r>
      <w:r>
        <w:rPr>
          <w:color w:val="000000"/>
          <w:sz w:val="27"/>
          <w:szCs w:val="27"/>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1．对项目资金的帐务处理不太规范，项目资金虽已按照批复专款专用，但在帐务处理时没有完全区分项目支出和基本支出进行了核算。</w:t>
      </w:r>
      <w:r>
        <w:rPr>
          <w:rFonts w:ascii="宋体" w:hAnsi="宋体" w:eastAsia="宋体" w:cs="宋体"/>
          <w:color w:val="000000"/>
          <w:sz w:val="32"/>
          <w:szCs w:val="32"/>
        </w:rPr>
        <w:br w:type="textWrapping"/>
      </w:r>
      <w:r>
        <w:rPr>
          <w:rFonts w:ascii="宋体" w:hAnsi="宋体" w:eastAsia="宋体" w:cs="宋体"/>
          <w:color w:val="000000"/>
          <w:sz w:val="32"/>
          <w:szCs w:val="32"/>
        </w:rPr>
        <w:t>2．预算编制工作有待细化，在年初预算时，项目资金的经济分类科目没有按支出分配好。</w:t>
      </w:r>
      <w:r>
        <w:rPr>
          <w:color w:val="000000"/>
          <w:sz w:val="27"/>
          <w:szCs w:val="27"/>
        </w:rPr>
        <w:t xml:space="preserve"> </w:t>
      </w:r>
    </w:p>
    <w:p>
      <w:pPr>
        <w:pStyle w:val="9"/>
        <w:keepNext w:val="0"/>
        <w:keepLines w:val="0"/>
        <w:widowControl/>
        <w:suppressLineNumbers w:val="0"/>
        <w:spacing w:before="0" w:beforeAutospacing="0" w:after="2" w:afterAutospacing="0"/>
      </w:pPr>
    </w:p>
    <w:p>
      <w:pPr>
        <w:pStyle w:val="13"/>
        <w:spacing w:before="0" w:beforeAutospacing="0" w:after="2" w:afterAutospacing="0"/>
        <w:ind w:left="0" w:firstLine="641"/>
        <w:rPr>
          <w:sz w:val="27"/>
          <w:szCs w:val="27"/>
        </w:rPr>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Verdana">
    <w:panose1 w:val="020B0604030504040204"/>
    <w:charset w:val="00"/>
    <w:family w:val="auto"/>
    <w:pitch w:val="variable"/>
    <w:sig w:usb0="A00006FF" w:usb1="4000205B" w:usb2="00000010" w:usb3="00000000" w:csb0="2000019F" w:csb1="00000000"/>
  </w:font>
  <w:font w:name="微软雅黑">
    <w:panose1 w:val="020B0503020204020204"/>
    <w:charset w:val="86"/>
    <w:family w:val="auto"/>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Arial Black">
    <w:panose1 w:val="020B0A04020102020204"/>
    <w:charset w:val="00"/>
    <w:family w:val="auto"/>
    <w:pitch w:val="variable"/>
    <w:sig w:usb0="A00002AF" w:usb1="400078FB" w:usb2="00000000" w:usb3="00000000" w:csb0="6000009F" w:csb1="DFD70000"/>
  </w:font>
  <w:font w:name="新宋体">
    <w:panose1 w:val="02010609030101010101"/>
    <w:charset w:val="86"/>
    <w:family w:val="auto"/>
    <w:pitch w:val="fixed"/>
    <w:sig w:usb0="00000203" w:usb1="288F0000" w:usb2="00000006" w:usb3="00000000" w:csb0="00040001" w:csb1="00000000"/>
  </w:font>
  <w:font w:name="@新宋体">
    <w:panose1 w:val="02010609030101010101"/>
    <w:charset w:val="86"/>
    <w:family w:val="auto"/>
    <w:pitch w:val="fixed"/>
    <w:sig w:usb0="000002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Tahoma">
    <w:panose1 w:val="020B0604030504040204"/>
    <w:charset w:val="00"/>
    <w:family w:val="auto"/>
    <w:pitch w:val="variable"/>
    <w:sig w:usb0="E1002EFF" w:usb1="C000605B" w:usb2="00000029" w:usb3="00000000" w:csb0="200101FF" w:csb1="2028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73852"/>
    <w:rsid w:val="0F814A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paragraph" w:customStyle="1" w:styleId="13">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2023-09-18T01:25:06Z</dcterms:created>
  <dc:creator>THTF</dc:creator>
  <cp:lastModifiedBy>THTF</cp:lastModifiedBy>
  <dcterms:modified xsi:type="dcterms:W3CDTF">2023-09-18T01:25:52Z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5F4669C4AA0C4CD996AEE6E7CCFEC416_13</vt:lpwstr>
  </property>
</Properties>
</file>