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jc w:val="center"/>
        <w:rPr>
          <w:rFonts w:hint="eastAsia" w:ascii="宋体" w:hAnsi="宋体" w:eastAsia="宋体" w:cs="宋体"/>
          <w:b/>
          <w:bCs/>
          <w:i w:val="0"/>
          <w:iCs w:val="0"/>
          <w:caps w:val="0"/>
          <w:color w:val="000000"/>
          <w:spacing w:val="0"/>
          <w:kern w:val="0"/>
          <w:sz w:val="44"/>
          <w:szCs w:val="44"/>
          <w:shd w:val="clear" w:fill="FFFFFF"/>
          <w:lang w:val="en-US" w:eastAsia="zh-CN" w:bidi="ar"/>
        </w:rPr>
      </w:pPr>
      <w:r>
        <w:rPr>
          <w:rFonts w:hint="eastAsia" w:ascii="宋体" w:hAnsi="宋体" w:eastAsia="宋体" w:cs="宋体"/>
          <w:b/>
          <w:bCs/>
          <w:i w:val="0"/>
          <w:iCs w:val="0"/>
          <w:caps w:val="0"/>
          <w:color w:val="000000"/>
          <w:spacing w:val="0"/>
          <w:kern w:val="0"/>
          <w:sz w:val="44"/>
          <w:szCs w:val="44"/>
          <w:shd w:val="clear" w:fill="FFFFFF"/>
          <w:lang w:val="en-US" w:eastAsia="zh-CN" w:bidi="ar"/>
        </w:rPr>
        <w:t>2021年度部门整体支出绩效评价报告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jc w:val="center"/>
        <w:rPr>
          <w:rFonts w:hint="eastAsia" w:ascii="宋体" w:hAnsi="宋体" w:eastAsia="宋体" w:cs="宋体"/>
          <w:b/>
          <w:bCs/>
          <w:i w:val="0"/>
          <w:iCs w:val="0"/>
          <w:caps w:val="0"/>
          <w:color w:val="000000"/>
          <w:spacing w:val="0"/>
          <w:kern w:val="0"/>
          <w:sz w:val="36"/>
          <w:szCs w:val="36"/>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 一、基本情况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（一）机构、人员构成</w:t>
      </w:r>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 w:hAnsi="仿宋" w:eastAsia="仿宋" w:cs="仿宋"/>
          <w:kern w:val="0"/>
          <w:sz w:val="32"/>
          <w:szCs w:val="32"/>
          <w:u w:val="none"/>
          <w:lang w:val="en-US" w:eastAsia="zh-CN" w:bidi="ar"/>
        </w:rPr>
      </w:pP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kern w:val="0"/>
          <w:sz w:val="32"/>
          <w:szCs w:val="32"/>
          <w:u w:val="none"/>
          <w:lang w:val="en-US" w:eastAsia="zh-CN" w:bidi="ar"/>
        </w:rPr>
        <w:t>邵阳市双清区自然资源局内设股室11个，分别为：办公室(人事股、财务股)、法规信息综合股(档案信息股、测绘股、政务服务办公室)、国土空间生态修复股、国土空间规划股(自然资源规划监管股)、国土空间用途管制股(自然资源开发利用股)、自然资源权籍调查监测和矿产资源保护监督股(地质勘查矿业权管理股)、林业股(森林防火股)、双清区火车自然资源中心所、双清区石桥自然资源中心所、双清区自然资源事务中心、邵阳市佘湖公园管理所。2021年我单位共有编制人数29人，2021年本单位年末在职实有人数29人，比上年</w:t>
      </w:r>
      <w:r>
        <w:rPr>
          <w:rFonts w:hint="eastAsia" w:ascii="仿宋" w:hAnsi="仿宋" w:eastAsia="仿宋" w:cs="仿宋"/>
          <w:kern w:val="0"/>
          <w:sz w:val="32"/>
          <w:szCs w:val="32"/>
          <w:u w:val="none"/>
          <w:lang w:val="zh-CN" w:eastAsia="zh-CN" w:bidi="ar"/>
        </w:rPr>
        <w:t>变动增加</w:t>
      </w:r>
      <w:r>
        <w:rPr>
          <w:rFonts w:hint="eastAsia" w:ascii="仿宋" w:hAnsi="仿宋" w:eastAsia="仿宋" w:cs="仿宋"/>
          <w:kern w:val="0"/>
          <w:sz w:val="32"/>
          <w:szCs w:val="32"/>
          <w:u w:val="none"/>
          <w:lang w:val="en-US" w:eastAsia="zh-CN" w:bidi="ar"/>
        </w:rPr>
        <w:t>3人、减少1人；人员变化的主要原因是：3人调入、1人辞职。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56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（二）单位主要职责</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1</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依法履行全区城市开发边界线范围外的全民所有土地、矿产、森林、草原、湿地，水等自然资源资产所有者职责和国土空间用途管制职责。</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rPr>
        <w:t>负责实施全区自然资</w:t>
      </w:r>
      <w:r>
        <w:rPr>
          <w:rFonts w:hint="eastAsia" w:ascii="仿宋" w:hAnsi="仿宋" w:eastAsia="仿宋" w:cs="仿宋"/>
          <w:sz w:val="32"/>
          <w:szCs w:val="32"/>
        </w:rPr>
        <w:t>源基础调查、专项调查和动态监测，负责自然资源调查监测评价成果的监督管理和信息发布。负责全区自然资源调查监测评价工作。</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负责城市开发边界线以外的自然资源统一确权工作。负责自然资源确权资料收集、整理、共享、汇交管理等。</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负责自然资源的合理开发利用负责全区城市开发边界线范围外的自然资源合理开发利用。</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协助建立市级空间规划体系。贯彻落实国土空间用途管制制度。负责城市开发边界线范围外土地等村庄规划用途转用工作。负责土地征收征用管理。</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负责统筹国土空间生态修复。</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负责组织实施最严格的耕地保护制度。</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负责管理全区地质工作和联系全区内地勘单位编制全区地质勘查规划并监督检查执行情况。</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rPr>
        <w:t>负责地质灾害预防和治理、负责落实综合防灾减灾规划相关要求，组织编制地质灾客防治规划并组织实施。承担地质灾害应急救援的技术支撑工作。</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w:t>
      </w:r>
      <w:r>
        <w:rPr>
          <w:rFonts w:hint="eastAsia" w:ascii="仿宋" w:hAnsi="仿宋" w:eastAsia="仿宋" w:cs="仿宋"/>
          <w:sz w:val="32"/>
          <w:szCs w:val="32"/>
        </w:rPr>
        <w:t>负责矿产资源管理工作。负责矿产资源储量管理及矿业权管理。监督指导矿产资源合理利用和保护。</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w:t>
      </w:r>
      <w:r>
        <w:rPr>
          <w:rFonts w:hint="eastAsia" w:ascii="仿宋" w:hAnsi="仿宋" w:eastAsia="仿宋" w:cs="仿宋"/>
          <w:sz w:val="32"/>
          <w:szCs w:val="32"/>
        </w:rPr>
        <w:t>负责测绘地理信息管理工作。</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w:t>
      </w:r>
      <w:r>
        <w:rPr>
          <w:rFonts w:hint="eastAsia" w:ascii="仿宋" w:hAnsi="仿宋" w:eastAsia="仿宋" w:cs="仿宋"/>
          <w:sz w:val="32"/>
          <w:szCs w:val="32"/>
        </w:rPr>
        <w:t>根据区委授权，对乡(镇、街道)以及园区相关部门落实区委、区政府关于自然资源和国土空间规划重大政策、决策部署及法律法规执行情况进行督察。</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13</w:t>
      </w:r>
      <w:r>
        <w:rPr>
          <w:rFonts w:hint="eastAsia" w:ascii="仿宋" w:hAnsi="仿宋" w:eastAsia="仿宋" w:cs="仿宋"/>
          <w:sz w:val="32"/>
          <w:szCs w:val="32"/>
          <w:lang w:eastAsia="zh-CN"/>
        </w:rPr>
        <w:t>）</w:t>
      </w:r>
      <w:r>
        <w:rPr>
          <w:rFonts w:hint="eastAsia" w:ascii="仿宋" w:hAnsi="仿宋" w:eastAsia="仿宋" w:cs="仿宋"/>
          <w:sz w:val="32"/>
          <w:szCs w:val="32"/>
        </w:rPr>
        <w:t>贯彻落实中央、省、市林业相关的政策、法规、规章，负责林业及其生态保护修复的监督管理，拟订区级林业及其生态保护修复的政策、规划并组织实施组织林业生态保护修复和造林绿化工作。负责森林、湿地资源、石漠化防治工作的监督管理。负责陆生野生动植物资源监督管理，负责监督管理辖区内自然保护区、风景名胜区、自然遗产、地质公园等各类自然保护地。监督管理林业资金和国有资产，组织实施林业生态补偿工作。组织实施森林火灾防治规划，指导开展森林防火等相关工作。负责推</w:t>
      </w:r>
      <w:bookmarkStart w:id="1" w:name="_GoBack"/>
      <w:bookmarkEnd w:id="1"/>
      <w:r>
        <w:rPr>
          <w:rFonts w:hint="eastAsia" w:ascii="仿宋" w:hAnsi="仿宋" w:eastAsia="仿宋" w:cs="仿宋"/>
          <w:sz w:val="32"/>
          <w:szCs w:val="32"/>
        </w:rPr>
        <w:t>进林业改革相关工作。</w:t>
      </w: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14</w:t>
      </w:r>
      <w:r>
        <w:rPr>
          <w:rFonts w:hint="eastAsia" w:ascii="仿宋" w:hAnsi="仿宋" w:eastAsia="仿宋" w:cs="仿宋"/>
          <w:sz w:val="32"/>
          <w:szCs w:val="32"/>
          <w:lang w:eastAsia="zh-CN"/>
        </w:rPr>
        <w:t>）</w:t>
      </w:r>
      <w:r>
        <w:rPr>
          <w:rFonts w:hint="eastAsia" w:ascii="仿宋" w:hAnsi="仿宋" w:eastAsia="仿宋" w:cs="仿宋"/>
          <w:sz w:val="32"/>
          <w:szCs w:val="32"/>
        </w:rPr>
        <w:t>完成区委、区政府交办的其他任务。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二、部门整体支出管理及使用情况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（一）基本支出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560"/>
        <w:textAlignment w:val="auto"/>
        <w:rPr>
          <w:rFonts w:hint="eastAsia" w:ascii="仿宋" w:hAnsi="仿宋" w:eastAsia="仿宋" w:cs="仿宋"/>
          <w:kern w:val="0"/>
          <w:sz w:val="32"/>
          <w:szCs w:val="32"/>
          <w:shd w:val="clear" w:color="auto" w:fill="FFFFFF"/>
          <w:lang w:val="en-US" w:eastAsia="zh-CN"/>
        </w:rPr>
      </w:pPr>
      <w:r>
        <w:rPr>
          <w:rFonts w:hint="eastAsia" w:ascii="仿宋" w:hAnsi="仿宋" w:eastAsia="仿宋" w:cs="仿宋"/>
          <w:kern w:val="0"/>
          <w:sz w:val="32"/>
          <w:szCs w:val="32"/>
          <w:shd w:val="clear" w:color="auto" w:fill="FFFFFF"/>
        </w:rPr>
        <w:t>2021年底决算财政拨款支出</w:t>
      </w:r>
      <w:r>
        <w:rPr>
          <w:rFonts w:hint="eastAsia" w:ascii="仿宋" w:hAnsi="仿宋" w:eastAsia="仿宋" w:cs="仿宋"/>
          <w:kern w:val="0"/>
          <w:sz w:val="32"/>
          <w:szCs w:val="32"/>
          <w:shd w:val="clear" w:color="auto" w:fill="FFFFFF"/>
          <w:lang w:val="en-US" w:eastAsia="zh-CN"/>
        </w:rPr>
        <w:t>312.73</w:t>
      </w:r>
      <w:r>
        <w:rPr>
          <w:rFonts w:hint="eastAsia" w:ascii="仿宋" w:hAnsi="仿宋" w:eastAsia="仿宋" w:cs="仿宋"/>
          <w:kern w:val="0"/>
          <w:sz w:val="32"/>
          <w:szCs w:val="32"/>
          <w:shd w:val="clear" w:color="auto" w:fill="FFFFFF"/>
        </w:rPr>
        <w:t>万元，其中</w:t>
      </w: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rPr>
        <w:t>人员经费</w:t>
      </w:r>
      <w:r>
        <w:rPr>
          <w:rFonts w:hint="eastAsia" w:ascii="仿宋" w:hAnsi="仿宋" w:eastAsia="仿宋" w:cs="仿宋"/>
          <w:kern w:val="0"/>
          <w:sz w:val="32"/>
          <w:szCs w:val="32"/>
          <w:shd w:val="clear" w:color="auto" w:fill="FFFFFF"/>
          <w:lang w:val="en-US" w:eastAsia="zh-CN"/>
        </w:rPr>
        <w:t>232.24</w:t>
      </w:r>
      <w:r>
        <w:rPr>
          <w:rFonts w:hint="eastAsia" w:ascii="仿宋" w:hAnsi="仿宋" w:eastAsia="仿宋" w:cs="仿宋"/>
          <w:kern w:val="0"/>
          <w:sz w:val="32"/>
          <w:szCs w:val="32"/>
          <w:shd w:val="clear" w:color="auto" w:fill="FFFFFF"/>
        </w:rPr>
        <w:t>万元，占基本支出的</w:t>
      </w:r>
      <w:r>
        <w:rPr>
          <w:rFonts w:hint="eastAsia" w:ascii="仿宋" w:hAnsi="仿宋" w:eastAsia="仿宋" w:cs="仿宋"/>
          <w:kern w:val="0"/>
          <w:sz w:val="32"/>
          <w:szCs w:val="32"/>
          <w:shd w:val="clear" w:color="auto" w:fill="FFFFFF"/>
          <w:lang w:val="en-US" w:eastAsia="zh-CN"/>
        </w:rPr>
        <w:t>74.26</w:t>
      </w:r>
      <w:r>
        <w:rPr>
          <w:rFonts w:hint="eastAsia" w:ascii="仿宋" w:hAnsi="仿宋" w:eastAsia="仿宋" w:cs="仿宋"/>
          <w:kern w:val="0"/>
          <w:sz w:val="32"/>
          <w:szCs w:val="32"/>
          <w:shd w:val="clear" w:color="auto" w:fill="FFFFFF"/>
        </w:rPr>
        <w:t>%</w:t>
      </w: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rPr>
        <w:t>主要包括基本工资、津贴补贴、奖金、机关事业单位基本养老保险缴费、职业年金缴费、职工基本医疗保险缴费、住房公积金、其他工资福利支出、生活补助</w:t>
      </w: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rPr>
        <w:t>日常公用经费</w:t>
      </w:r>
      <w:r>
        <w:rPr>
          <w:rFonts w:hint="eastAsia" w:ascii="仿宋" w:hAnsi="仿宋" w:eastAsia="仿宋" w:cs="仿宋"/>
          <w:kern w:val="0"/>
          <w:sz w:val="32"/>
          <w:szCs w:val="32"/>
          <w:shd w:val="clear" w:color="auto" w:fill="FFFFFF"/>
          <w:lang w:val="en-US" w:eastAsia="zh-CN"/>
        </w:rPr>
        <w:t>80.49</w:t>
      </w:r>
      <w:r>
        <w:rPr>
          <w:rFonts w:hint="eastAsia" w:ascii="仿宋" w:hAnsi="仿宋" w:eastAsia="仿宋" w:cs="仿宋"/>
          <w:kern w:val="0"/>
          <w:sz w:val="32"/>
          <w:szCs w:val="32"/>
          <w:shd w:val="clear" w:color="auto" w:fill="FFFFFF"/>
        </w:rPr>
        <w:t>万元，占基本支出的</w:t>
      </w:r>
      <w:r>
        <w:rPr>
          <w:rFonts w:hint="eastAsia" w:ascii="仿宋" w:hAnsi="仿宋" w:eastAsia="仿宋" w:cs="仿宋"/>
          <w:kern w:val="0"/>
          <w:sz w:val="32"/>
          <w:szCs w:val="32"/>
          <w:shd w:val="clear" w:color="auto" w:fill="FFFFFF"/>
          <w:lang w:val="en-US" w:eastAsia="zh-CN"/>
        </w:rPr>
        <w:t>25.74，</w:t>
      </w:r>
      <w:r>
        <w:rPr>
          <w:rFonts w:hint="eastAsia" w:ascii="仿宋" w:hAnsi="仿宋" w:eastAsia="仿宋" w:cs="仿宋"/>
          <w:kern w:val="0"/>
          <w:sz w:val="32"/>
          <w:szCs w:val="32"/>
          <w:shd w:val="clear" w:color="auto" w:fill="FFFFFF"/>
        </w:rPr>
        <w:t>%主要包括办公费、</w:t>
      </w:r>
      <w:r>
        <w:rPr>
          <w:rFonts w:hint="eastAsia" w:ascii="仿宋" w:hAnsi="仿宋" w:eastAsia="仿宋" w:cs="仿宋"/>
          <w:kern w:val="0"/>
          <w:sz w:val="32"/>
          <w:szCs w:val="32"/>
          <w:shd w:val="clear" w:color="auto" w:fill="FFFFFF"/>
          <w:lang w:eastAsia="zh-CN"/>
        </w:rPr>
        <w:t>印刷费</w:t>
      </w:r>
      <w:r>
        <w:rPr>
          <w:rFonts w:hint="eastAsia" w:ascii="仿宋" w:hAnsi="仿宋" w:eastAsia="仿宋" w:cs="仿宋"/>
          <w:kern w:val="0"/>
          <w:sz w:val="32"/>
          <w:szCs w:val="32"/>
          <w:shd w:val="clear" w:color="auto" w:fill="FFFFFF"/>
        </w:rPr>
        <w:t>、差</w:t>
      </w:r>
      <w:r>
        <w:rPr>
          <w:rFonts w:hint="eastAsia" w:ascii="仿宋" w:hAnsi="仿宋" w:eastAsia="仿宋" w:cs="仿宋"/>
          <w:kern w:val="0"/>
          <w:sz w:val="32"/>
          <w:szCs w:val="32"/>
          <w:shd w:val="clear" w:color="auto" w:fill="FFFFFF"/>
          <w:lang w:val="en-US" w:eastAsia="zh-CN"/>
        </w:rPr>
        <w:t>旅</w:t>
      </w:r>
      <w:r>
        <w:rPr>
          <w:rFonts w:hint="eastAsia" w:ascii="仿宋" w:hAnsi="仿宋" w:eastAsia="仿宋" w:cs="仿宋"/>
          <w:kern w:val="0"/>
          <w:sz w:val="32"/>
          <w:szCs w:val="32"/>
          <w:shd w:val="clear" w:color="auto" w:fill="FFFFFF"/>
        </w:rPr>
        <w:t>费、培训费、工会经费、其他交通费用、其他商品和服务支出</w:t>
      </w: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rPr>
        <w:t>项目支出0万元</w:t>
      </w:r>
      <w:r>
        <w:rPr>
          <w:rFonts w:hint="eastAsia" w:ascii="仿宋" w:hAnsi="仿宋" w:eastAsia="仿宋" w:cs="仿宋"/>
          <w:kern w:val="0"/>
          <w:sz w:val="32"/>
          <w:szCs w:val="32"/>
          <w:shd w:val="clear" w:color="auto"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 “三公”经费的使用情况如下：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1．因公出国(境)费用支出决算0万元，占0%，202</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年因公出国(境)团组数0个，团组人数0人；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2．公务用车购置及运行费支出决算0万元，其中公务用车购置支出0万元，公务用车运行支出0万元；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3、公务接待费支出0万元。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三、部门整体支出管理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建立健全的财务管理制度，会计核算制度，励行节约制度，相关管理制度合法、合规、完整，并严格按照制度办理财务业务。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四、部门整体支出绩效情况</w:t>
      </w:r>
      <w:r>
        <w:rPr>
          <w:rFonts w:hint="eastAsia" w:ascii="仿宋" w:hAnsi="仿宋" w:eastAsia="仿宋" w:cs="仿宋"/>
          <w:i w:val="0"/>
          <w:iCs w:val="0"/>
          <w:caps w:val="0"/>
          <w:color w:val="000000"/>
          <w:spacing w:val="0"/>
          <w:sz w:val="32"/>
          <w:szCs w:val="32"/>
          <w:shd w:val="clear" w:fill="FFFFFF"/>
        </w:rPr>
        <w:t> </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sz w:val="32"/>
          <w:szCs w:val="32"/>
        </w:rPr>
        <w:t>2021年严</w:t>
      </w:r>
      <w:r>
        <w:rPr>
          <w:rStyle w:val="7"/>
          <w:rFonts w:hint="eastAsia" w:ascii="仿宋" w:hAnsi="仿宋" w:eastAsia="仿宋" w:cs="仿宋"/>
          <w:sz w:val="32"/>
          <w:szCs w:val="32"/>
        </w:rPr>
        <w:t>格卫片执法，确保土地利用规范有序。一是</w:t>
      </w:r>
      <w:r>
        <w:rPr>
          <w:rFonts w:hint="eastAsia" w:ascii="仿宋" w:hAnsi="仿宋" w:eastAsia="仿宋" w:cs="仿宋"/>
          <w:sz w:val="32"/>
          <w:szCs w:val="32"/>
        </w:rPr>
        <w:t>省级例行督察方面成绩突出。通过采取制定方案、相关单位现场分析会，以及领导包案措施，我区原有的14个交办的公益项目的整改问题（其中9个村级服务平台），截止目前已完成报批销号9个，连续2个月取得市三重点工作第一名。二是农村乱占耕地均处置到位。我区共收到部、省级下发农村乱占耕地建房图斑25个，区人民政府高度重视，主要负责人带头组织包案，针对违法行为逐一分析制定方案，截止目前均按照要求处置到位。三是新增农村乱占耕地建房行为为零。此项工作压实乡镇街道属地责任，切实遏制新增乱占耕地行为，我区制定完善了一系列巡查、管理机制，通过区、乡、村、组的四级联合管理和严管重罚的高压态势下，我区2021年来没有发生</w:t>
      </w:r>
      <w:bookmarkStart w:id="0" w:name="_Hlk93145435"/>
      <w:r>
        <w:rPr>
          <w:rFonts w:hint="eastAsia" w:ascii="仿宋" w:hAnsi="仿宋" w:eastAsia="仿宋" w:cs="仿宋"/>
          <w:sz w:val="32"/>
          <w:szCs w:val="32"/>
        </w:rPr>
        <w:t>新增农村乱占耕地建房行为</w:t>
      </w:r>
      <w:bookmarkEnd w:id="0"/>
      <w:r>
        <w:rPr>
          <w:rFonts w:hint="eastAsia" w:ascii="仿宋" w:hAnsi="仿宋" w:eastAsia="仿宋" w:cs="仿宋"/>
          <w:sz w:val="32"/>
          <w:szCs w:val="32"/>
        </w:rPr>
        <w:t>。</w:t>
      </w:r>
      <w:r>
        <w:rPr>
          <w:rFonts w:hint="eastAsia" w:ascii="仿宋" w:hAnsi="仿宋" w:eastAsia="仿宋" w:cs="仿宋"/>
          <w:sz w:val="32"/>
          <w:szCs w:val="32"/>
          <w:lang w:val="en-US" w:eastAsia="zh-CN"/>
        </w:rPr>
        <w:t>四是</w:t>
      </w:r>
      <w:r>
        <w:rPr>
          <w:rFonts w:hint="eastAsia" w:ascii="仿宋" w:hAnsi="仿宋" w:eastAsia="仿宋" w:cs="仿宋"/>
          <w:sz w:val="32"/>
          <w:szCs w:val="32"/>
        </w:rPr>
        <w:t>2021年生态廊道建设截至到5月初，我区758.8亩目标造林绿化面积全面完成，在5、6月市、省林业局上级相关部门进行验收及督察时都得到了高度表扬，此项工作完成效果排四区第一</w:t>
      </w:r>
      <w:r>
        <w:rPr>
          <w:rFonts w:hint="eastAsia" w:ascii="仿宋" w:hAnsi="仿宋" w:eastAsia="仿宋" w:cs="仿宋"/>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五、存在的主要问题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1．对项目资金的帐务处理不太规范，项目资金虽已按照批复专款专用，但在帐务处理时没有完全区分项目支出和基本支出进行了核算。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2．预算编制工作有待细化，在年初预算时，项目资金的经济分类科目没有按支出分配好。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六、改进措施和有关建议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针对上述存在的问题及我单位整体支出管理工作的需要，拟实施的改进措施如下：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1．细化预算编制工作，认真做好预算的编制。进一步加强我办内部机构各办的预算管理意识，严格按照预算编制的相关制度和要求进行预算编制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2．加强财务管理，严格财务审核。在费用报账支付时，按照预算规定的费用项目和用途进行财务核算，分门别类做支出。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3．持续抓好“三公”经费控制管理。严格控制“三公”经费的规模和比例，严把“三公”经费支出的审核、审批，杜绝挪用和挤占其他预算资金行为。</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xMDFmNTAyZTFiOGQ1YTdhNGM2ODM5MjE1Njg0NTAifQ=="/>
  </w:docVars>
  <w:rsids>
    <w:rsidRoot w:val="00000000"/>
    <w:rsid w:val="09DB7C80"/>
    <w:rsid w:val="0D941286"/>
    <w:rsid w:val="2FDD4C94"/>
    <w:rsid w:val="39A71C6B"/>
    <w:rsid w:val="56F8187E"/>
    <w:rsid w:val="59BF2E37"/>
    <w:rsid w:val="6C780F82"/>
    <w:rsid w:val="6CFB0696"/>
    <w:rsid w:val="723D0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2280</Words>
  <Characters>2343</Characters>
  <Lines>0</Lines>
  <Paragraphs>0</Paragraphs>
  <TotalTime>5</TotalTime>
  <ScaleCrop>false</ScaleCrop>
  <LinksUpToDate>false</LinksUpToDate>
  <CharactersWithSpaces>2344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2022-06-27T10:09:00Z</dcterms:created>
  <dc:creator>Administrator</dc:creator>
  <cp:lastModifiedBy>Administrator</cp:lastModifiedBy>
  <dcterms:modified xsi:type="dcterms:W3CDTF">2022-10-27T03:02:18Z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7F93310D76054516B9A588119E00EF00</vt:lpwstr>
  </property>
</Properties>
</file>